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68861C5D" w:rsidR="002F28CC" w:rsidRPr="00664B38" w:rsidRDefault="00664B38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  <w:r w:rsidR="002F28CC"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.10.2021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210694BE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2021 / </w:t>
            </w:r>
            <w:r w:rsid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104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0D268301" w14:textId="77777777" w:rsidR="0018138F" w:rsidRPr="00664B38" w:rsidRDefault="0018138F" w:rsidP="0018138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64B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4691 VE 5746 SAYILI KANUNLAR KAPSAMINDA GELİR VERGİSİ STOPAJ TEŞVİKİ UYGULAMASINDA BÖLGE VE MERKEZLER DIŞINDA GEÇİRİLEBİLECEK</w:t>
            </w:r>
          </w:p>
          <w:p w14:paraId="30B5E9DE" w14:textId="55F91A2A" w:rsidR="002F28CC" w:rsidRPr="0001415A" w:rsidRDefault="0018138F" w:rsidP="0018138F">
            <w:pP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4B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ÇALIŞMA SÜRESİ ORANI %20'DEN %50'YE YÜKSELTİLDİ.</w:t>
            </w:r>
          </w:p>
        </w:tc>
      </w:tr>
    </w:tbl>
    <w:p w14:paraId="33E8BE35" w14:textId="77777777" w:rsidR="002F28CC" w:rsidRDefault="002F28CC" w:rsidP="002F28CC">
      <w:pPr>
        <w:spacing w:line="330" w:lineRule="atLeast"/>
        <w:textAlignment w:val="baseline"/>
        <w:rPr>
          <w:b/>
          <w:bCs/>
        </w:rPr>
      </w:pPr>
    </w:p>
    <w:p w14:paraId="146E9F24" w14:textId="4AA9BC3F" w:rsidR="00C16514" w:rsidRPr="00664B38" w:rsidRDefault="00C16514" w:rsidP="00C16514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4691 VE 5746 SAYILI KANUNLAR KAPSAMINDA</w:t>
      </w:r>
      <w:r w:rsidR="00664B38" w:rsidRPr="00664B3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64B38">
        <w:rPr>
          <w:rFonts w:asciiTheme="majorHAnsi" w:hAnsiTheme="majorHAnsi" w:cstheme="majorHAnsi"/>
          <w:b/>
          <w:bCs/>
          <w:sz w:val="22"/>
          <w:szCs w:val="22"/>
        </w:rPr>
        <w:t>GELİR VERGİSİ STOPAJ TEŞVİKİ UYGULAMASINDA</w:t>
      </w:r>
      <w:r w:rsidR="00664B38" w:rsidRPr="00664B3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64B38">
        <w:rPr>
          <w:rFonts w:asciiTheme="majorHAnsi" w:hAnsiTheme="majorHAnsi" w:cstheme="majorHAnsi"/>
          <w:b/>
          <w:bCs/>
          <w:sz w:val="22"/>
          <w:szCs w:val="22"/>
        </w:rPr>
        <w:t>BÖLGE VE MERKEZLER DIŞINDA GEÇİRİLEBİLECEK</w:t>
      </w:r>
    </w:p>
    <w:p w14:paraId="7BAD1846" w14:textId="6363C0CF" w:rsidR="00C16514" w:rsidRPr="00664B38" w:rsidRDefault="00C16514" w:rsidP="00C16514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ÇALIŞMA SÜRESİ ORANI</w:t>
      </w:r>
      <w:r w:rsidR="00664B38" w:rsidRPr="00664B3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64B38">
        <w:rPr>
          <w:rFonts w:asciiTheme="majorHAnsi" w:hAnsiTheme="majorHAnsi" w:cstheme="majorHAnsi"/>
          <w:b/>
          <w:bCs/>
          <w:sz w:val="22"/>
          <w:szCs w:val="22"/>
        </w:rPr>
        <w:t>%20'DEN %50'YE YÜKSELTİLDİ</w:t>
      </w:r>
      <w:r w:rsidR="00664B38" w:rsidRPr="00664B38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04E8C04F" w14:textId="77777777" w:rsidR="00664B38" w:rsidRPr="00664B38" w:rsidRDefault="00664B38" w:rsidP="00C16514">
      <w:pPr>
        <w:rPr>
          <w:rFonts w:asciiTheme="majorHAnsi" w:hAnsiTheme="majorHAnsi" w:cstheme="majorHAnsi"/>
          <w:sz w:val="22"/>
          <w:szCs w:val="22"/>
        </w:rPr>
      </w:pPr>
    </w:p>
    <w:p w14:paraId="3A893AE1" w14:textId="77777777" w:rsidR="00C16514" w:rsidRPr="00664B38" w:rsidRDefault="00C16514" w:rsidP="00C16514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4668EAAB" w14:textId="03033EB3" w:rsidR="00C16514" w:rsidRPr="00664B38" w:rsidRDefault="00C16514" w:rsidP="00C16514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4625 sayılı CK ile Teknoloji Geliştirme Bölgeleri ile Ar-Ge veya Tasarım Merkezlerinde Çalışan</w:t>
      </w:r>
      <w:r w:rsidR="00664B38" w:rsidRPr="00664B3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64B38">
        <w:rPr>
          <w:rFonts w:asciiTheme="majorHAnsi" w:hAnsiTheme="majorHAnsi" w:cstheme="majorHAnsi"/>
          <w:b/>
          <w:bCs/>
          <w:sz w:val="22"/>
          <w:szCs w:val="22"/>
        </w:rPr>
        <w:t>Personelin, 4691 Sayılı Teknoloji Geliştirme Bölgeleri Kanunu'nun Geçici 2'nci Maddesinin</w:t>
      </w:r>
      <w:r w:rsidR="00664B38" w:rsidRPr="00664B3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64B38">
        <w:rPr>
          <w:rFonts w:asciiTheme="majorHAnsi" w:hAnsiTheme="majorHAnsi" w:cstheme="majorHAnsi"/>
          <w:b/>
          <w:bCs/>
          <w:sz w:val="22"/>
          <w:szCs w:val="22"/>
        </w:rPr>
        <w:t>Üçüncü Fıkrası ile 5746 Sayılı Araştırma, Geliştirme ve Tasarım Faaliyetlerinin Desteklenmesi</w:t>
      </w:r>
      <w:r w:rsidR="00664B38" w:rsidRPr="00664B3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64B38">
        <w:rPr>
          <w:rFonts w:asciiTheme="majorHAnsi" w:hAnsiTheme="majorHAnsi" w:cstheme="majorHAnsi"/>
          <w:b/>
          <w:bCs/>
          <w:sz w:val="22"/>
          <w:szCs w:val="22"/>
        </w:rPr>
        <w:t>Hakkında Kanunun 3 üncü Maddesinin İkinci Fıkrasında Yer Alan ve Gelir Vergisi Stopajı</w:t>
      </w:r>
      <w:r w:rsidR="00664B38" w:rsidRPr="00664B3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64B38">
        <w:rPr>
          <w:rFonts w:asciiTheme="majorHAnsi" w:hAnsiTheme="majorHAnsi" w:cstheme="majorHAnsi"/>
          <w:b/>
          <w:bCs/>
          <w:sz w:val="22"/>
          <w:szCs w:val="22"/>
        </w:rPr>
        <w:t>Teşvikine Konu Edilen Toplam Çalışma Sürelerine Uygulanmak Üzere Söz Konusu Bölge ve</w:t>
      </w:r>
      <w:r w:rsidR="00664B38" w:rsidRPr="00664B3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64B38">
        <w:rPr>
          <w:rFonts w:asciiTheme="majorHAnsi" w:hAnsiTheme="majorHAnsi" w:cstheme="majorHAnsi"/>
          <w:b/>
          <w:bCs/>
          <w:sz w:val="22"/>
          <w:szCs w:val="22"/>
        </w:rPr>
        <w:t>Merkezler Dışında Geçirdikleri Süreler Bakımından Yüzde Yirmi Olarak Belirlenen Oranın,31/12/2022 Tarihine Kadar Yüzde Elli Olarak Uygulanmasına karar verilmiştir.</w:t>
      </w:r>
    </w:p>
    <w:p w14:paraId="5EEA1074" w14:textId="77777777" w:rsidR="00664B38" w:rsidRDefault="00664B38" w:rsidP="00C16514"/>
    <w:p w14:paraId="41FF8973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Bilindiği üzere 3 Şubat 2021 tarihli Resmi Gazetede yayımlanan 7263 sayılı Kanun ile 4691</w:t>
      </w:r>
    </w:p>
    <w:p w14:paraId="0348C6C4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sayılı Teknoloji Geliştirme Bölgeleri Kanunu ile 5746 sayılı Araştırma, Geliştirme ve Tasarım</w:t>
      </w:r>
    </w:p>
    <w:p w14:paraId="19FDF358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Faaliyetlerinin Desteklenmesi Hakkında Kanun’da bazı değişiklikler yapılmış ve yapılan bu</w:t>
      </w:r>
    </w:p>
    <w:p w14:paraId="3E6D3BE8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değişiklikler uyarınca;</w:t>
      </w:r>
    </w:p>
    <w:p w14:paraId="7FA001F4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="Cambria Math" w:hAnsi="Cambria Math" w:cs="Cambria Math"/>
          <w:sz w:val="22"/>
          <w:szCs w:val="22"/>
        </w:rPr>
        <w:t>⎯</w:t>
      </w:r>
      <w:r w:rsidRPr="00664B38">
        <w:rPr>
          <w:rFonts w:asciiTheme="majorHAnsi" w:hAnsiTheme="majorHAnsi" w:cstheme="majorHAnsi"/>
          <w:sz w:val="22"/>
          <w:szCs w:val="22"/>
        </w:rPr>
        <w:t xml:space="preserve"> 4691 sayılı Kanun kapsamında Teknoloji Geliştirme Bölgesinde çalışan AR-GE,</w:t>
      </w:r>
    </w:p>
    <w:p w14:paraId="3877E334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tasarım ve destek personelinin bu görevleri ile ilgili ücretlerine tanınan vergi</w:t>
      </w:r>
    </w:p>
    <w:p w14:paraId="6A541B94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istisnası kaldırılarak 31/12/2028 tarihine kadar, bölgede çalışan AR-GE, tasarım ve</w:t>
      </w:r>
    </w:p>
    <w:p w14:paraId="37B2E6DD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destek personelinin bu görevleri ile ilgili ücretleri üzerinden asgari geçim indirimi</w:t>
      </w:r>
    </w:p>
    <w:p w14:paraId="654F8DEA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uygulandıktan sonra hesaplanan gelir vergisi; verilecek muhtasar beyanname</w:t>
      </w:r>
    </w:p>
    <w:p w14:paraId="38043DD9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üzerinden tahakkuk eden vergiden indirilmek suretiyle terkin edileceği hükme</w:t>
      </w:r>
    </w:p>
    <w:p w14:paraId="15C580A1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bağlanmış ve 4691 sayılı Kanunun kapsamında Bölgede yer alan işletmelerde gelir</w:t>
      </w:r>
    </w:p>
    <w:p w14:paraId="54E46F50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 xml:space="preserve">vergisi stopajı teşvikine konu edilen toplam çalışma sürelerinin yüzde yirmisini </w:t>
      </w:r>
    </w:p>
    <w:p w14:paraId="41C5CEE6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aşmamak kaydıyla maddede belirtilen durumlar haricinde ilgili personelin Bölge dışında</w:t>
      </w:r>
    </w:p>
    <w:p w14:paraId="5C9F316F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geçirdikleri süreler de gelir vergisi stopajı teşviki kapsamına alınarak yüzde yirmi olarak</w:t>
      </w:r>
    </w:p>
    <w:p w14:paraId="62384E08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belirlenen bu oranın Cumhurbaşkanı tarafından yüzde elliye kadar artırılabilmesine</w:t>
      </w:r>
    </w:p>
    <w:p w14:paraId="25167987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imkana tanınmış;</w:t>
      </w:r>
    </w:p>
    <w:p w14:paraId="6A40E3BE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="Cambria Math" w:hAnsi="Cambria Math" w:cs="Cambria Math"/>
          <w:sz w:val="22"/>
          <w:szCs w:val="22"/>
        </w:rPr>
        <w:t>⎯</w:t>
      </w:r>
      <w:r w:rsidRPr="00664B38">
        <w:rPr>
          <w:rFonts w:asciiTheme="majorHAnsi" w:hAnsiTheme="majorHAnsi" w:cstheme="majorHAnsi"/>
          <w:sz w:val="22"/>
          <w:szCs w:val="22"/>
        </w:rPr>
        <w:t xml:space="preserve"> 5746 sayılı Kanun kapsamında çalışan Ar-Ge, tasarım ve destek personellerine tanınan</w:t>
      </w:r>
    </w:p>
    <w:p w14:paraId="566DD699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ücret istisnası kaldırılarak, Kanun kapsamında çalışan Ar-Ge ve destek personeli ile</w:t>
      </w:r>
    </w:p>
    <w:p w14:paraId="4ECE9EF9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Kanun kapsamında sayılan kurum ve kuruluşlar tarafından desteklenen tasarım</w:t>
      </w:r>
    </w:p>
    <w:p w14:paraId="67B585CE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projelerinde ve tasarım merkezlerinde çalışan tasarım ve destek personelinin; bu</w:t>
      </w:r>
    </w:p>
    <w:p w14:paraId="39DB1763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çalışmaları karşılığında elde ettikleri ücretlerinin doktoralı olanlar ile desteklenecek</w:t>
      </w:r>
    </w:p>
    <w:p w14:paraId="251D0BDB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program alanlarından birinde en az yüksek lisans derecesine sahip olanlar için yüzde</w:t>
      </w:r>
    </w:p>
    <w:p w14:paraId="665C90B2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doksan beşi, yüksek lisanslı olanlar ile desteklenecek program alanlarından birinde</w:t>
      </w:r>
    </w:p>
    <w:p w14:paraId="0827E917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lisans derecesine sahip olanlar için yüzde doksanı ve diğerleri için yüzde sekseni,</w:t>
      </w:r>
    </w:p>
    <w:p w14:paraId="7E25C475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verilecek muhtasar beyanname üzerinden tahakkuk eden vergiden indirilmek suretiyle</w:t>
      </w:r>
    </w:p>
    <w:p w14:paraId="09EECA0C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lastRenderedPageBreak/>
        <w:t>edileceği hükme bağlanmış ve ayrıca Ar-Ge veya tasarım merkezlerinde gelir vergisi</w:t>
      </w:r>
    </w:p>
    <w:p w14:paraId="28C9E67B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stopajı teşvikine konu edilen toplam çalışma sürelerinin yüzde yirmisini aşmamak</w:t>
      </w:r>
    </w:p>
    <w:p w14:paraId="649BD865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kaydıyla belirtilen durumlar haricinde ilgili personelin bu merkezler dışında geçirdikleri</w:t>
      </w:r>
    </w:p>
    <w:p w14:paraId="49C9811E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süreler de gelir vergisi stopajı teşviki kapsamına alınarak yüzde yirmi olarak belirlenen</w:t>
      </w:r>
    </w:p>
    <w:p w14:paraId="526B415A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bu oranın Cumhurbaşkanı tarafından yüzde elliye kadar artırılabilmesine imkana</w:t>
      </w:r>
    </w:p>
    <w:p w14:paraId="77B6F149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tanınmıştı.</w:t>
      </w:r>
    </w:p>
    <w:p w14:paraId="640B8D99" w14:textId="77777777" w:rsidR="0018138F" w:rsidRDefault="0018138F" w:rsidP="00C16514">
      <w:pPr>
        <w:rPr>
          <w:rFonts w:asciiTheme="majorHAnsi" w:hAnsiTheme="majorHAnsi" w:cstheme="majorHAnsi"/>
          <w:sz w:val="22"/>
          <w:szCs w:val="22"/>
        </w:rPr>
      </w:pPr>
    </w:p>
    <w:p w14:paraId="5A3C7FB8" w14:textId="0581EA70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17 Ekim 2021 tarih ve 31631 sayılı Resmî Gazetede yayımlanan 4625 sayılı Cumhurbaşkanı</w:t>
      </w:r>
    </w:p>
    <w:p w14:paraId="5DFC9F31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kararı ile Teknoloji Geliştirme Bölgeleri ile Ar-Ge veya Tasarım Merkezlerinde Çalışan</w:t>
      </w:r>
    </w:p>
    <w:p w14:paraId="3F74037A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Personelin, 4691 Sayılı Teknoloji Geliştirme Bölgeleri Kanununun Geçici 2 nci Maddesinin</w:t>
      </w:r>
    </w:p>
    <w:p w14:paraId="60B62FA4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Üçüncü Fıkrası ile 5746 Sayılı Araştırma, Geliştirme ve Tasarım Faaliyetlerinin Desteklenmesi</w:t>
      </w:r>
    </w:p>
    <w:p w14:paraId="484E9BFE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Hakkında Kanunun 3 üncü Maddesinin İkinci Fıkrasında Yer Alan ve Gelir Vergisi Stopajı</w:t>
      </w:r>
    </w:p>
    <w:p w14:paraId="0AC32AF4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Teşvikine Konu Edilen Toplam Çalışma Sürelerine Uygulanmak Üzere Söz Konusu Bölge ve</w:t>
      </w:r>
    </w:p>
    <w:p w14:paraId="7C5397A5" w14:textId="77777777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Merkezler Dışında Geçirdikleri Süreler Bakımından Yüzde Yirmi Olarak Belirlenen Oranın,</w:t>
      </w:r>
    </w:p>
    <w:p w14:paraId="2DEDA04F" w14:textId="19699923" w:rsidR="00C16514" w:rsidRPr="00664B38" w:rsidRDefault="00C16514" w:rsidP="00C16514">
      <w:pPr>
        <w:rPr>
          <w:rFonts w:asciiTheme="majorHAnsi" w:hAnsiTheme="majorHAnsi" w:cstheme="majorHAnsi"/>
          <w:sz w:val="22"/>
          <w:szCs w:val="22"/>
        </w:rPr>
      </w:pPr>
      <w:r w:rsidRPr="00664B38">
        <w:rPr>
          <w:rFonts w:asciiTheme="majorHAnsi" w:hAnsiTheme="majorHAnsi" w:cstheme="majorHAnsi"/>
          <w:sz w:val="22"/>
          <w:szCs w:val="22"/>
        </w:rPr>
        <w:t>31/12/2022 Tarihine Kadar Yüzde Elli Olarak Uygulanmasına karar verilmiştir.</w:t>
      </w:r>
    </w:p>
    <w:p w14:paraId="032491C2" w14:textId="2CF8823D" w:rsidR="00664B38" w:rsidRPr="00664B38" w:rsidRDefault="00664B38" w:rsidP="00C16514">
      <w:pPr>
        <w:rPr>
          <w:rFonts w:asciiTheme="majorHAnsi" w:hAnsiTheme="majorHAnsi" w:cstheme="majorHAnsi"/>
          <w:sz w:val="22"/>
          <w:szCs w:val="22"/>
        </w:rPr>
      </w:pPr>
    </w:p>
    <w:p w14:paraId="0BF251C2" w14:textId="77777777" w:rsidR="00664B38" w:rsidRPr="00664B38" w:rsidRDefault="00664B38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Bilgilerinize sunulur.</w:t>
      </w:r>
    </w:p>
    <w:p w14:paraId="6A374036" w14:textId="77777777" w:rsidR="00664B38" w:rsidRPr="00664B38" w:rsidRDefault="00664B38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Saygılarımızla…</w:t>
      </w:r>
    </w:p>
    <w:p w14:paraId="64A7556B" w14:textId="77777777" w:rsidR="00664B38" w:rsidRPr="00664B38" w:rsidRDefault="00664B38" w:rsidP="00664B38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3CA295C" w14:textId="7DA16D95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4F5F20D" w14:textId="5A53BF8D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9E87477" w14:textId="45C8D6D1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4E5E4BF" w14:textId="42853E8A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CBD1518" w14:textId="4CDEEED8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F7DA5FE" w14:textId="77777777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sectPr w:rsidR="00C16514" w:rsidRPr="00664B38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DF75E" w14:textId="77777777" w:rsidR="00675DA5" w:rsidRDefault="00675DA5" w:rsidP="006A7CD4">
      <w:r>
        <w:separator/>
      </w:r>
    </w:p>
  </w:endnote>
  <w:endnote w:type="continuationSeparator" w:id="0">
    <w:p w14:paraId="662B609C" w14:textId="77777777" w:rsidR="00675DA5" w:rsidRDefault="00675DA5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8A16" w14:textId="77777777" w:rsidR="00675DA5" w:rsidRDefault="00675DA5" w:rsidP="006A7CD4">
      <w:r>
        <w:separator/>
      </w:r>
    </w:p>
  </w:footnote>
  <w:footnote w:type="continuationSeparator" w:id="0">
    <w:p w14:paraId="585DEB99" w14:textId="77777777" w:rsidR="00675DA5" w:rsidRDefault="00675DA5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8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8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1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3"/>
  </w:num>
  <w:num w:numId="2">
    <w:abstractNumId w:val="12"/>
  </w:num>
  <w:num w:numId="3">
    <w:abstractNumId w:val="6"/>
  </w:num>
  <w:num w:numId="4">
    <w:abstractNumId w:val="7"/>
  </w:num>
  <w:num w:numId="5">
    <w:abstractNumId w:val="11"/>
  </w:num>
  <w:num w:numId="6">
    <w:abstractNumId w:val="18"/>
  </w:num>
  <w:num w:numId="7">
    <w:abstractNumId w:val="16"/>
  </w:num>
  <w:num w:numId="8">
    <w:abstractNumId w:val="10"/>
  </w:num>
  <w:num w:numId="9">
    <w:abstractNumId w:val="2"/>
  </w:num>
  <w:num w:numId="10">
    <w:abstractNumId w:val="25"/>
  </w:num>
  <w:num w:numId="11">
    <w:abstractNumId w:val="8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9"/>
  </w:num>
  <w:num w:numId="15">
    <w:abstractNumId w:val="24"/>
  </w:num>
  <w:num w:numId="16">
    <w:abstractNumId w:val="5"/>
  </w:num>
  <w:num w:numId="17">
    <w:abstractNumId w:val="3"/>
  </w:num>
  <w:num w:numId="18">
    <w:abstractNumId w:val="15"/>
  </w:num>
  <w:num w:numId="19">
    <w:abstractNumId w:val="26"/>
  </w:num>
  <w:num w:numId="20">
    <w:abstractNumId w:val="4"/>
  </w:num>
  <w:num w:numId="21">
    <w:abstractNumId w:val="19"/>
  </w:num>
  <w:num w:numId="22">
    <w:abstractNumId w:val="14"/>
  </w:num>
  <w:num w:numId="23">
    <w:abstractNumId w:val="0"/>
  </w:num>
  <w:num w:numId="24">
    <w:abstractNumId w:val="29"/>
  </w:num>
  <w:num w:numId="25">
    <w:abstractNumId w:val="17"/>
  </w:num>
  <w:num w:numId="26">
    <w:abstractNumId w:val="30"/>
  </w:num>
  <w:num w:numId="27">
    <w:abstractNumId w:val="13"/>
  </w:num>
  <w:num w:numId="28">
    <w:abstractNumId w:val="11"/>
    <w:lvlOverride w:ilvl="0">
      <w:startOverride w:val="1"/>
    </w:lvlOverride>
  </w:num>
  <w:num w:numId="29">
    <w:abstractNumId w:val="20"/>
  </w:num>
  <w:num w:numId="30">
    <w:abstractNumId w:val="28"/>
  </w:num>
  <w:num w:numId="31">
    <w:abstractNumId w:val="1"/>
  </w:num>
  <w:num w:numId="32">
    <w:abstractNumId w:val="2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100BD"/>
    <w:rsid w:val="0001417D"/>
    <w:rsid w:val="000166B0"/>
    <w:rsid w:val="00016DBE"/>
    <w:rsid w:val="0002015F"/>
    <w:rsid w:val="00020354"/>
    <w:rsid w:val="000211B4"/>
    <w:rsid w:val="00021455"/>
    <w:rsid w:val="00024674"/>
    <w:rsid w:val="00035A96"/>
    <w:rsid w:val="000373A3"/>
    <w:rsid w:val="000424F5"/>
    <w:rsid w:val="0004599B"/>
    <w:rsid w:val="00064834"/>
    <w:rsid w:val="00067483"/>
    <w:rsid w:val="00081FDE"/>
    <w:rsid w:val="00087B4F"/>
    <w:rsid w:val="000A113D"/>
    <w:rsid w:val="000B2DC3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123CC"/>
    <w:rsid w:val="00115CCB"/>
    <w:rsid w:val="001269DE"/>
    <w:rsid w:val="00133239"/>
    <w:rsid w:val="00133E41"/>
    <w:rsid w:val="0015379B"/>
    <w:rsid w:val="00166AD0"/>
    <w:rsid w:val="00170933"/>
    <w:rsid w:val="00173778"/>
    <w:rsid w:val="001811B2"/>
    <w:rsid w:val="0018138F"/>
    <w:rsid w:val="00182C0C"/>
    <w:rsid w:val="00192085"/>
    <w:rsid w:val="001943B9"/>
    <w:rsid w:val="001A450E"/>
    <w:rsid w:val="001A455F"/>
    <w:rsid w:val="001A51D5"/>
    <w:rsid w:val="001B0FB5"/>
    <w:rsid w:val="001B31B8"/>
    <w:rsid w:val="001B537B"/>
    <w:rsid w:val="001B6C9F"/>
    <w:rsid w:val="001B6FD5"/>
    <w:rsid w:val="001C25E6"/>
    <w:rsid w:val="001C4314"/>
    <w:rsid w:val="001F4804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7A79"/>
    <w:rsid w:val="002C3CDE"/>
    <w:rsid w:val="002C418E"/>
    <w:rsid w:val="002D11B2"/>
    <w:rsid w:val="002D123B"/>
    <w:rsid w:val="002E13A9"/>
    <w:rsid w:val="002E4A99"/>
    <w:rsid w:val="002E5B32"/>
    <w:rsid w:val="002F0233"/>
    <w:rsid w:val="002F28CC"/>
    <w:rsid w:val="002F3031"/>
    <w:rsid w:val="002F73EC"/>
    <w:rsid w:val="00301772"/>
    <w:rsid w:val="003023BE"/>
    <w:rsid w:val="00305A2E"/>
    <w:rsid w:val="00312E70"/>
    <w:rsid w:val="00313EDA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786C"/>
    <w:rsid w:val="00376B57"/>
    <w:rsid w:val="003813AE"/>
    <w:rsid w:val="0039313C"/>
    <w:rsid w:val="003A55D8"/>
    <w:rsid w:val="003B47D3"/>
    <w:rsid w:val="003C2F42"/>
    <w:rsid w:val="003D0082"/>
    <w:rsid w:val="003D3471"/>
    <w:rsid w:val="003D3715"/>
    <w:rsid w:val="003D6F83"/>
    <w:rsid w:val="003D7E0B"/>
    <w:rsid w:val="003E78B9"/>
    <w:rsid w:val="00400178"/>
    <w:rsid w:val="0040189A"/>
    <w:rsid w:val="004108B9"/>
    <w:rsid w:val="00410F56"/>
    <w:rsid w:val="004158C4"/>
    <w:rsid w:val="004202A4"/>
    <w:rsid w:val="00421873"/>
    <w:rsid w:val="00422AFD"/>
    <w:rsid w:val="004244A0"/>
    <w:rsid w:val="00431A93"/>
    <w:rsid w:val="004366C2"/>
    <w:rsid w:val="004426FF"/>
    <w:rsid w:val="00452C2D"/>
    <w:rsid w:val="0046207A"/>
    <w:rsid w:val="00463538"/>
    <w:rsid w:val="004657C0"/>
    <w:rsid w:val="00466485"/>
    <w:rsid w:val="004726EC"/>
    <w:rsid w:val="00481F80"/>
    <w:rsid w:val="00485319"/>
    <w:rsid w:val="004859DB"/>
    <w:rsid w:val="0048663B"/>
    <w:rsid w:val="00487210"/>
    <w:rsid w:val="0049075C"/>
    <w:rsid w:val="00490A82"/>
    <w:rsid w:val="00491599"/>
    <w:rsid w:val="004A4479"/>
    <w:rsid w:val="004A46D0"/>
    <w:rsid w:val="004A61F6"/>
    <w:rsid w:val="004A7AAF"/>
    <w:rsid w:val="004C15C7"/>
    <w:rsid w:val="004C6706"/>
    <w:rsid w:val="004C7A0A"/>
    <w:rsid w:val="004D7AE2"/>
    <w:rsid w:val="004E23ED"/>
    <w:rsid w:val="004E3AD9"/>
    <w:rsid w:val="004F5094"/>
    <w:rsid w:val="0050371D"/>
    <w:rsid w:val="005210AD"/>
    <w:rsid w:val="00522FFC"/>
    <w:rsid w:val="00523E7D"/>
    <w:rsid w:val="00527166"/>
    <w:rsid w:val="00531769"/>
    <w:rsid w:val="00532C21"/>
    <w:rsid w:val="005330A4"/>
    <w:rsid w:val="005345BE"/>
    <w:rsid w:val="00535196"/>
    <w:rsid w:val="005420B3"/>
    <w:rsid w:val="005508F5"/>
    <w:rsid w:val="0055193F"/>
    <w:rsid w:val="00552198"/>
    <w:rsid w:val="005550D1"/>
    <w:rsid w:val="00555FCC"/>
    <w:rsid w:val="00556F76"/>
    <w:rsid w:val="00564C02"/>
    <w:rsid w:val="00570B49"/>
    <w:rsid w:val="005721DD"/>
    <w:rsid w:val="005764B7"/>
    <w:rsid w:val="005A09B5"/>
    <w:rsid w:val="005A16E1"/>
    <w:rsid w:val="005A280E"/>
    <w:rsid w:val="005A3411"/>
    <w:rsid w:val="005A34B7"/>
    <w:rsid w:val="005B606E"/>
    <w:rsid w:val="005C14AA"/>
    <w:rsid w:val="005C1C42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12982"/>
    <w:rsid w:val="006227BB"/>
    <w:rsid w:val="00623E07"/>
    <w:rsid w:val="0062573F"/>
    <w:rsid w:val="0063740C"/>
    <w:rsid w:val="00655E5F"/>
    <w:rsid w:val="00656CBA"/>
    <w:rsid w:val="00664B38"/>
    <w:rsid w:val="00665E86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6F04"/>
    <w:rsid w:val="006C4385"/>
    <w:rsid w:val="006D069F"/>
    <w:rsid w:val="006D786E"/>
    <w:rsid w:val="006F192C"/>
    <w:rsid w:val="006F21E5"/>
    <w:rsid w:val="006F3636"/>
    <w:rsid w:val="007008F3"/>
    <w:rsid w:val="00711A5D"/>
    <w:rsid w:val="00712BD1"/>
    <w:rsid w:val="007201CB"/>
    <w:rsid w:val="007207C0"/>
    <w:rsid w:val="00721F38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852FA"/>
    <w:rsid w:val="0078631A"/>
    <w:rsid w:val="007A06E5"/>
    <w:rsid w:val="007A2606"/>
    <w:rsid w:val="007A4DD8"/>
    <w:rsid w:val="007A70C7"/>
    <w:rsid w:val="007B11A6"/>
    <w:rsid w:val="007C3E2C"/>
    <w:rsid w:val="007E42B9"/>
    <w:rsid w:val="007F0D2E"/>
    <w:rsid w:val="00801AD8"/>
    <w:rsid w:val="00813FA5"/>
    <w:rsid w:val="008213D9"/>
    <w:rsid w:val="008252C0"/>
    <w:rsid w:val="0083315A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2FC1"/>
    <w:rsid w:val="008C4E19"/>
    <w:rsid w:val="008D5EE1"/>
    <w:rsid w:val="008E38C3"/>
    <w:rsid w:val="008E4032"/>
    <w:rsid w:val="008E60F3"/>
    <w:rsid w:val="008F4762"/>
    <w:rsid w:val="00906F72"/>
    <w:rsid w:val="009206A3"/>
    <w:rsid w:val="009252EA"/>
    <w:rsid w:val="00943666"/>
    <w:rsid w:val="0095503D"/>
    <w:rsid w:val="0096158D"/>
    <w:rsid w:val="00974222"/>
    <w:rsid w:val="009759D3"/>
    <w:rsid w:val="00976AD3"/>
    <w:rsid w:val="00983B75"/>
    <w:rsid w:val="00992109"/>
    <w:rsid w:val="00993F54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450F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51DA4"/>
    <w:rsid w:val="00A53107"/>
    <w:rsid w:val="00A5323C"/>
    <w:rsid w:val="00A62DAA"/>
    <w:rsid w:val="00A71DCF"/>
    <w:rsid w:val="00A728F0"/>
    <w:rsid w:val="00A81213"/>
    <w:rsid w:val="00A875DA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494F"/>
    <w:rsid w:val="00B0243D"/>
    <w:rsid w:val="00B13907"/>
    <w:rsid w:val="00B14198"/>
    <w:rsid w:val="00B23C0D"/>
    <w:rsid w:val="00B300C6"/>
    <w:rsid w:val="00B33A71"/>
    <w:rsid w:val="00B443A3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52BA"/>
    <w:rsid w:val="00C07DE2"/>
    <w:rsid w:val="00C07ECE"/>
    <w:rsid w:val="00C13014"/>
    <w:rsid w:val="00C13BC9"/>
    <w:rsid w:val="00C16514"/>
    <w:rsid w:val="00C34FC5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90896"/>
    <w:rsid w:val="00CA2AB0"/>
    <w:rsid w:val="00CB1DF3"/>
    <w:rsid w:val="00CB62EA"/>
    <w:rsid w:val="00CC2119"/>
    <w:rsid w:val="00CC222B"/>
    <w:rsid w:val="00CC2C37"/>
    <w:rsid w:val="00CC4DBC"/>
    <w:rsid w:val="00CD201A"/>
    <w:rsid w:val="00CD5E87"/>
    <w:rsid w:val="00CD6A2A"/>
    <w:rsid w:val="00CE3F0E"/>
    <w:rsid w:val="00CF085C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20A46"/>
    <w:rsid w:val="00D318C2"/>
    <w:rsid w:val="00D34AF0"/>
    <w:rsid w:val="00D3798A"/>
    <w:rsid w:val="00D46688"/>
    <w:rsid w:val="00D53B10"/>
    <w:rsid w:val="00D6079A"/>
    <w:rsid w:val="00D62DF9"/>
    <w:rsid w:val="00D63336"/>
    <w:rsid w:val="00D63D2A"/>
    <w:rsid w:val="00D76A77"/>
    <w:rsid w:val="00D87A18"/>
    <w:rsid w:val="00D90A6B"/>
    <w:rsid w:val="00D91C19"/>
    <w:rsid w:val="00D92483"/>
    <w:rsid w:val="00DA13A8"/>
    <w:rsid w:val="00DB090F"/>
    <w:rsid w:val="00DB21F1"/>
    <w:rsid w:val="00DC1827"/>
    <w:rsid w:val="00DE2971"/>
    <w:rsid w:val="00DE5E60"/>
    <w:rsid w:val="00DF17B9"/>
    <w:rsid w:val="00DF4ECF"/>
    <w:rsid w:val="00DF6FC8"/>
    <w:rsid w:val="00E00CF1"/>
    <w:rsid w:val="00E02EF1"/>
    <w:rsid w:val="00E042B0"/>
    <w:rsid w:val="00E049B1"/>
    <w:rsid w:val="00E10484"/>
    <w:rsid w:val="00E11572"/>
    <w:rsid w:val="00E24216"/>
    <w:rsid w:val="00E27418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B4504"/>
    <w:rsid w:val="00EB4E17"/>
    <w:rsid w:val="00EB7A7D"/>
    <w:rsid w:val="00EC0991"/>
    <w:rsid w:val="00ED0C7E"/>
    <w:rsid w:val="00ED0F69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B1B"/>
    <w:rsid w:val="00F3312E"/>
    <w:rsid w:val="00F443BC"/>
    <w:rsid w:val="00F453CE"/>
    <w:rsid w:val="00F45C76"/>
    <w:rsid w:val="00F4677E"/>
    <w:rsid w:val="00F5365E"/>
    <w:rsid w:val="00F546C8"/>
    <w:rsid w:val="00F561E0"/>
    <w:rsid w:val="00F61DDB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C2A0C"/>
    <w:rsid w:val="00FC3A55"/>
    <w:rsid w:val="00FC6A37"/>
    <w:rsid w:val="00FD0991"/>
    <w:rsid w:val="00FD32D7"/>
    <w:rsid w:val="00FD7AC9"/>
    <w:rsid w:val="00FE18B4"/>
    <w:rsid w:val="00FF1993"/>
    <w:rsid w:val="00FF1A37"/>
    <w:rsid w:val="00FF3FD9"/>
    <w:rsid w:val="00FF40FA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2021-10-18T12:41:00Z</dcterms:created>
  <dcterms:modified xsi:type="dcterms:W3CDTF">2021-10-18T12:44:00Z</dcterms:modified>
</cp:coreProperties>
</file>