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732FFB06" w:rsidR="00D848E2" w:rsidRPr="00664B38" w:rsidRDefault="00A33B74"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00EC57C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477EA">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EB199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848E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51444BC9"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33B7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104</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1E6EFA94" w:rsidR="00D848E2" w:rsidRPr="00CB2165" w:rsidRDefault="00A33B74" w:rsidP="00EF05A1">
            <w:pPr>
              <w:tabs>
                <w:tab w:val="left" w:pos="2604"/>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3B74">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KATMA DEĞER VERGİSİ GENEL UYGULAMA TEBLİĞİNDE DEĞİŞİKLİK YAPILMASINA DAİR TEBLİĞ (SERİ NO: 43)</w:t>
            </w:r>
          </w:p>
        </w:tc>
      </w:tr>
    </w:tbl>
    <w:p w14:paraId="7EEC8896" w14:textId="77777777" w:rsidR="00A33B74" w:rsidRDefault="00A33B74" w:rsidP="00A33B74">
      <w:pPr>
        <w:tabs>
          <w:tab w:val="left" w:pos="2604"/>
        </w:tabs>
        <w:spacing w:line="330" w:lineRule="atLeast"/>
        <w:textAlignment w:val="baseline"/>
        <w:rPr>
          <w:rFonts w:asciiTheme="majorHAnsi" w:hAnsiTheme="majorHAnsi" w:cstheme="majorHAnsi"/>
          <w:sz w:val="22"/>
          <w:szCs w:val="22"/>
        </w:rPr>
      </w:pPr>
    </w:p>
    <w:p w14:paraId="395E278F" w14:textId="5340E145"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KATMA DEĞER VERGİSİ GENEL UYGULAMA TEBLİĞİNDE DEĞİŞİKLİK</w:t>
      </w:r>
      <w:r w:rsidRPr="008B7947">
        <w:rPr>
          <w:rFonts w:asciiTheme="majorHAnsi" w:hAnsiTheme="majorHAnsi" w:cstheme="majorHAnsi"/>
          <w:b/>
          <w:bCs/>
          <w:sz w:val="22"/>
          <w:szCs w:val="22"/>
        </w:rPr>
        <w:t xml:space="preserve"> </w:t>
      </w:r>
      <w:r w:rsidRPr="008B7947">
        <w:rPr>
          <w:rFonts w:asciiTheme="majorHAnsi" w:hAnsiTheme="majorHAnsi" w:cstheme="majorHAnsi"/>
          <w:b/>
          <w:bCs/>
          <w:sz w:val="22"/>
          <w:szCs w:val="22"/>
        </w:rPr>
        <w:t>YAPILMASINA DAİR TEBLİĞ (SERİ NO: 43)</w:t>
      </w:r>
    </w:p>
    <w:p w14:paraId="7F878270"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25 Ekim 2022 SALI</w:t>
      </w:r>
    </w:p>
    <w:p w14:paraId="0AF017ED"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Resmî Gazete</w:t>
      </w:r>
    </w:p>
    <w:p w14:paraId="2547F7D3"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Sayı : 31994</w:t>
      </w:r>
    </w:p>
    <w:p w14:paraId="41E5321D"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TEBLİĞ</w:t>
      </w:r>
    </w:p>
    <w:p w14:paraId="3C9C57F5"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Hazine ve Maliye Bakanlığı (Gelir İdaresi Başkanlığı)’ndan:</w:t>
      </w:r>
    </w:p>
    <w:p w14:paraId="404554C6"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KATMA DEĞER VERGİSİ GENEL UYGULAMA TEBLİĞİNDE DEĞİŞİKLİK</w:t>
      </w:r>
    </w:p>
    <w:p w14:paraId="1C3AABD1"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YAPILMASINA DAİR TEBLİĞ (SERİ NO: 43)</w:t>
      </w:r>
    </w:p>
    <w:p w14:paraId="14241E34"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MADDE 1- 26/4/2014 tarihli ve 28983 sayılı Resmî Gazete’de yayımlanan Katma Değer Vergisi Genel Uygulama Tebliğinin (I/C-2.1.1.2.) bölümünün ikinci paragrafında yer alan “sorumlu sıfatıyla” ibaresi ile üçüncü paragrafının üçüncü satırında yer alan “- Sorumlu sıfatıyla” ibaresinden sonra gelmek üzere “kanuni süresinde” ibareleri eklenmiş; aynı bölümün üçüncü paragrafının üçüncü satırından sonra gelmek üzere aşağıdaki satır eklenmiş; aynı bölümde yer alan “Örnek”in ikinci paragrafının üçüncü cümlesi “2 No.lu KDV Beyannamesi yanlışlıkla süresinden sonra 20 Ağustos tarihinde verilirse ve tevkif edilen 126 TL tutarındaki KDV 5 Eylül tarihinde ödenirse söz konusu KDV, en erken ödemenin yapıldığı Eylül dönemine ilişkin 1 No.lu KDV Beyannamesinde indirim konusu yapılabilecektir.” şeklinde değiştirilmiştir.</w:t>
      </w:r>
    </w:p>
    <w:p w14:paraId="589CDD80"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 Sorumlu sıfatıyla kanuni süresinden sonra beyan edilen kısmı ise bu beyana ilişkin ödemenin yapıldığı döneme ait,”</w:t>
      </w:r>
    </w:p>
    <w:p w14:paraId="7E758ECC"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MADDE 2- Aynı Tebliğin (I/C-2.1.3.3.8.1.) bölümünde yer alan “(4/10)” ibaresi “(5/10)” olarak değiştirilmiş; aynı bölümün ikinci paragrafından sonra gelmek üzere aşağıdaki paragraf eklenmiştir.</w:t>
      </w:r>
    </w:p>
    <w:p w14:paraId="76BB8264"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“Ayrıca, demir-çelik ve alaşımlarından mamul ürünlerin payları Borsa İstanbul A.Ş.’de işlem gören şirketler tarafından tesliminde de tevkifat uygulanır.”</w:t>
      </w:r>
    </w:p>
    <w:p w14:paraId="416856D8"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MADDE 3- Aynı Tebliğin (III/B-3.) bölümünün üçüncü paragrafından sonra gelmek üzere aşağıdaki paragraf eklenmiştir.</w:t>
      </w:r>
    </w:p>
    <w:p w14:paraId="3CA72D3A"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“Aynı yetki çerçevesinde, 2007/13033 sayılı Bakanlar Kurulu Kararı eki (I) sayılı listenin (A) bölümü kapsamında yer alan malların takvim yılının Ocak-Haziran dönemindeki teslimlerinden doğan KDV iadelerinin, en erken ilgili yılın Haziran dönemi en geç ilgili yılın Kasım dönemi itibarıyla talep edilmesi kaydıyla nakden yapılması uygun görülmüştür.”</w:t>
      </w:r>
    </w:p>
    <w:p w14:paraId="747ED7B1"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p>
    <w:p w14:paraId="4125A866"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lastRenderedPageBreak/>
        <w:t>MADDE 4- Aynı Tebliğin (III/B-3.2.5.) bölümünün sonuna aşağıdaki paragraf eklenmiştir.</w:t>
      </w:r>
    </w:p>
    <w:p w14:paraId="6A2C85F8"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“2007/13033 sayılı Bakanlar Kurulu Kararı eki (I) sayılı listenin (A) bölümü kapsamında yer alan malların teslimlerinden doğan yılı içinde nakden iade tutarı, Tebliğin (III/B-3.1.1.) bölümündeki açıklamalar çerçevesinde işlemlerin yapıldığı yılın Ocak-Haziran dönemi için altı aylık olarak ve Haziran dönemi sonu itibarıyla hesaplanır. Benzer şekilde, 10.000 TL ve üstündeki nakden iade taleplerinin, teminat verilmeksizin vergi inceleme raporuna göre sonuçlandırılmasının talep edilmesi halinde, iade vergi inceleme raporunun vergi dairesi kayıtlarına intikal ettiği tarihte yapılır.”</w:t>
      </w:r>
    </w:p>
    <w:p w14:paraId="61C1C62A"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MADDE 5- Aynı Tebliğin (IV/A-1.6.) bölümü başlığı ile birlikte aşağıdaki şekilde değiştirilmiştir.</w:t>
      </w:r>
    </w:p>
    <w:p w14:paraId="5398EEF5"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“1.6. İstisna Kapsamındaki İşlemin Gerçekleşmesinden Sonra İşleme İlişkin Mal ve Hizmet Alımları ile İlgili Kur Farkları</w:t>
      </w:r>
    </w:p>
    <w:p w14:paraId="784570E0"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Tam istisna kapsamındaki bir işlemin gerçekleşmesinden sonra, söz konusu işleme ilişkin mal ve hizmet alımlarına ait tam istisna kapsamındaki işlemi yapan mükellef lehine veya aleyhine kur farkı ortaya çıkabilmektedir.</w:t>
      </w:r>
    </w:p>
    <w:p w14:paraId="2347C4DD"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Mükellef aleyhine ortaya çıkan kur farkı üzerinden ödenen KDV’lerin tam istisna kapsamındaki işlemin gerçekleştiği vergilendirme dönemine ilişkin yüklenilen KDV hesabına dahil edilerek iadesinin talep edilmesi mümkündür. Ancak, kur farkına ilişkin faturanın iade işlemleri sonuçlandırıldıktan sonra gelmesi halinde, işlemle ilgili mal ve hizmet alımlarına ait kur farkı üzerinden ödenen ve yüklenilen KDV hesabına dahil edilmesi gereken KDV, indirim hesaplarına dahil edildiği vergilendirme dönemine ilişkin iade hesabında dikkate alınabilir.</w:t>
      </w:r>
    </w:p>
    <w:p w14:paraId="36D2CE1F"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Tam istisna kapsamındaki işlemi yapan mükellefin mal ve hizmet alımlarına ilişkin olarak lehine oluşan kur farkı nedeniyle KDV hesaplanması ve kur farkının ortaya çıktığı dönem beyannamesinde beyan edilmesi gerekmektedir. Tam istisna kapsamındaki işlemi yapan mükellefin lehine oluşan kur farkının iade işlemleri sonuçlandırılmadan önce ortaya çıkması halinde bu tutarın iade hesabından düşülmesi gerekmektedir. İadeye konu edilemeyen bu tutarın ise kur farkının ortaya çıktığı dönem indirim hesaplarına alınması mümkündür. Söz konusu kur farkının iade işlemleri sonuçlandırıldıktan sonra ortaya çıkması halinde ise iade hesabında herhangi bir düzeltme yapılmasına gerek bulunmamaktadır.”</w:t>
      </w:r>
    </w:p>
    <w:p w14:paraId="64C0A794"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MADDE 6- Aynı Tebliğin;</w:t>
      </w:r>
    </w:p>
    <w:p w14:paraId="1BD43AB2"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a) (IV/A-5.1.) bölümünün (a) alt bendinde yer alan “teminat mektubunun” ibaresi “teminat mektubunun veya sigorta şirketi kefalet senedinin” olarak, aynı bölümün (c) alt bendinde yer alan “teminat mektupları” ibaresi “teminat mektupları veya sigorta şirketi kefalet senetleri” olarak değiştirilmiştir.</w:t>
      </w:r>
    </w:p>
    <w:p w14:paraId="20EDEB6A"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b) (IV/A-5.2.) bölümüne aşağıdaki paragraf eklenmiştir.</w:t>
      </w:r>
    </w:p>
    <w:p w14:paraId="0A8347C3"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“Sigorta şirketleri tarafından düzenlenen kefalet senetlerinin paraya çevrilmeleri konusunda hiçbir sınırlayıcı şart taşımayacak biçimde süresiz ve şartsız, Tahsilat Genel Tebliği (Seri: A Sıra No:1) ekindeki örneğe (EK-13) uygun olarak ve Türkiye’de yerleşik sigorta şirketleri tarafından düzenlenmiş olması gerekir.”</w:t>
      </w:r>
    </w:p>
    <w:p w14:paraId="5AA52FE5"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c) (IV/A-5.4.) bölümünün başlığında yer alan “Teminat Mektuplarının” ibaresi “Teminat Mektuplarının ve Sigorta Şirketi Kefalet Senetlerinin” olarak, ilk paragrafında yer alan “Teminat mektupları” ibaresi “Teminat mektupları ve sigorta şirketi kefalet senetleri” olarak, ikinci paragrafında yer alan “teminat mektuplarının” ibaresi “teminat mektuplarının ve sigorta şirketi kefalet senetlerinin” olarak, aynı paragrafta yer alan “teminat mektubunun” ibaresi “teminat mektubunun ve sigorta şirketi kefalet senedinin” olarak, aynı paragrafta yer alan “teminat mektubunun” ibaresi “teminat mektubunun/sigorta şirketi kefalet senedinin” olarak ve aynı paragrafta yer alan “bankaların” ibaresi “bankalar ve sigorta şirketlerinin” olarak değiştirilmiştir.</w:t>
      </w:r>
    </w:p>
    <w:p w14:paraId="2D591AAC"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ç) (IV/A-5.5.) bölümünün başlığında yer alan “Teminat Mektuplarının” ibaresi “Teminat Mektuplarının ve Sigorta Şirketi Kefalet Senetlerinin” olarak, birinci ve üçüncü paragraflarında yer alan “Banka teminat mektubu” ibareleri “Banka teminat mektubu ve sigorta şirketi kefalet senedi” olarak, birinci paragrafında yer alan “teminat mektuplarının” ibaresi “teminat mektuplarının ve sigorta şirketi kefalet senetlerinin” olarak, ikinci paragrafında yer alan “banka teminat mektuplarının” ibaresi “banka teminat mektupları ve sigorta şirketi kefalet senetlerinin” olarak, aynı paragrafta yer alan “Bankalar” ibaresi “bankalar ve sigorta şirketleri” olarak, “teminat mektuplarına” ibaresi “teminat mektuplarına ve sigorta şirketi kefalet senetlerine” olarak, üçüncü paragrafında yer alan “teminat mektubunu veren banka şubesinden” ibaresi “teminat mektubunu ve sigorta şirketi kefalet senedini veren banka şubesi veya sigorta şirketinden” olarak değiştirilmiştir.</w:t>
      </w:r>
    </w:p>
    <w:p w14:paraId="7BBE3AB1"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d) (IV/A-5.6.) bölümünün birinci ve ikinci paragraflarında yer alan “teminat mektubu” ibareleri “teminat mektubu veya sigorta şirketi kefalet senedi” olarak, üçüncü paragrafında yer alan “teminat mektuplarının” ibaresi “teminat mektuplarının veya sigorta şirketi kefalet senetlerinin” olarak değiştirilmiştir.</w:t>
      </w:r>
    </w:p>
    <w:p w14:paraId="3784680E"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e) (IV/A-6.) bölümünün üçüncü paragrafında yer alan “banka teminat mektubu” ibaresi “banka teminat mektubu veya sigorta şirketi kefalet senedi” olarak değiştirilmiştir.</w:t>
      </w:r>
    </w:p>
    <w:p w14:paraId="14B5A563"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f) (IV/C-2.) bölümünün dördüncü paragrafında yer alan “veya banka teminat mektubu” ibaresi “, banka teminat mektubu veya sigorta şirketi kefalet senedi” olarak değiştirilmiştir.</w:t>
      </w:r>
    </w:p>
    <w:p w14:paraId="06482BAC"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MADDE 7- Bu Tebliğin;</w:t>
      </w:r>
    </w:p>
    <w:p w14:paraId="76EF850A"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a) 2 nci, 3 üncü, 4 üncü ve 6 ncı maddeleri yayımını izleyen ayın başında,</w:t>
      </w:r>
    </w:p>
    <w:p w14:paraId="08073971"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b) Diğer maddeleri ise yayımı tarihinde,</w:t>
      </w:r>
    </w:p>
    <w:p w14:paraId="05558059" w14:textId="77777777"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yürürlüğe girer.</w:t>
      </w:r>
    </w:p>
    <w:p w14:paraId="4B75D679" w14:textId="1FD244CC" w:rsidR="00A33B74" w:rsidRPr="008B7947" w:rsidRDefault="00A33B74" w:rsidP="00A33B74">
      <w:pPr>
        <w:tabs>
          <w:tab w:val="left" w:pos="2604"/>
        </w:tabs>
        <w:spacing w:line="330" w:lineRule="atLeast"/>
        <w:textAlignment w:val="baseline"/>
        <w:rPr>
          <w:rFonts w:asciiTheme="majorHAnsi" w:hAnsiTheme="majorHAnsi" w:cstheme="majorHAnsi"/>
          <w:b/>
          <w:bCs/>
          <w:sz w:val="22"/>
          <w:szCs w:val="22"/>
        </w:rPr>
      </w:pPr>
      <w:r w:rsidRPr="008B7947">
        <w:rPr>
          <w:rFonts w:asciiTheme="majorHAnsi" w:hAnsiTheme="majorHAnsi" w:cstheme="majorHAnsi"/>
          <w:b/>
          <w:bCs/>
          <w:sz w:val="22"/>
          <w:szCs w:val="22"/>
        </w:rPr>
        <w:t>MADDE 8- Bu Tebliğ hükümlerini Hazine ve Maliye Bakanı yürütür.</w:t>
      </w:r>
    </w:p>
    <w:p w14:paraId="0EEFCB43" w14:textId="77777777" w:rsidR="008B7947" w:rsidRDefault="008B7947" w:rsidP="007568BF">
      <w:pPr>
        <w:tabs>
          <w:tab w:val="left" w:pos="2604"/>
          <w:tab w:val="left" w:pos="2970"/>
        </w:tabs>
        <w:spacing w:line="330" w:lineRule="atLeast"/>
        <w:textAlignment w:val="baseline"/>
        <w:rPr>
          <w:b/>
          <w:bCs/>
        </w:rPr>
      </w:pPr>
    </w:p>
    <w:p w14:paraId="55232E51" w14:textId="5F4C5899"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9E8D2B3" w14:textId="2F1074F6" w:rsidR="00D36240" w:rsidRPr="00AF4F15" w:rsidRDefault="007568BF">
      <w:pPr>
        <w:tabs>
          <w:tab w:val="left" w:pos="2604"/>
        </w:tabs>
        <w:spacing w:line="330" w:lineRule="atLeast"/>
        <w:textAlignment w:val="baseline"/>
        <w:rPr>
          <w:b/>
          <w:bCs/>
        </w:rPr>
      </w:pPr>
      <w:r w:rsidRPr="00AF4F15">
        <w:rPr>
          <w:b/>
          <w:bCs/>
        </w:rPr>
        <w:t>Saygılarımızla…</w:t>
      </w:r>
    </w:p>
    <w:sectPr w:rsidR="00D36240"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89180" w14:textId="77777777" w:rsidR="00F4254B" w:rsidRDefault="00F4254B" w:rsidP="006A7CD4">
      <w:r>
        <w:separator/>
      </w:r>
    </w:p>
  </w:endnote>
  <w:endnote w:type="continuationSeparator" w:id="0">
    <w:p w14:paraId="4A0A3FF9" w14:textId="77777777" w:rsidR="00F4254B" w:rsidRDefault="00F4254B"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altName w:val="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69386" w14:textId="77777777" w:rsidR="00F4254B" w:rsidRDefault="00F4254B" w:rsidP="006A7CD4">
      <w:r>
        <w:separator/>
      </w:r>
    </w:p>
  </w:footnote>
  <w:footnote w:type="continuationSeparator" w:id="0">
    <w:p w14:paraId="09B4B7D2" w14:textId="77777777" w:rsidR="00F4254B" w:rsidRDefault="00F4254B"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579"/>
    <w:rsid w:val="00043931"/>
    <w:rsid w:val="0004599B"/>
    <w:rsid w:val="00056CAF"/>
    <w:rsid w:val="000575C9"/>
    <w:rsid w:val="00064834"/>
    <w:rsid w:val="000673E0"/>
    <w:rsid w:val="00067483"/>
    <w:rsid w:val="00077057"/>
    <w:rsid w:val="00081FDE"/>
    <w:rsid w:val="000830A5"/>
    <w:rsid w:val="00083537"/>
    <w:rsid w:val="0008431A"/>
    <w:rsid w:val="00087B4F"/>
    <w:rsid w:val="000902F8"/>
    <w:rsid w:val="000931EE"/>
    <w:rsid w:val="000A113D"/>
    <w:rsid w:val="000A3516"/>
    <w:rsid w:val="000B0A9D"/>
    <w:rsid w:val="000B11A2"/>
    <w:rsid w:val="000B2DC3"/>
    <w:rsid w:val="000B60C6"/>
    <w:rsid w:val="000B60CD"/>
    <w:rsid w:val="000B6587"/>
    <w:rsid w:val="000C01EF"/>
    <w:rsid w:val="000D5CCA"/>
    <w:rsid w:val="000D6E15"/>
    <w:rsid w:val="000E1D2D"/>
    <w:rsid w:val="000E4A96"/>
    <w:rsid w:val="000E6529"/>
    <w:rsid w:val="000F2DEA"/>
    <w:rsid w:val="000F33C3"/>
    <w:rsid w:val="0010072C"/>
    <w:rsid w:val="00100BD4"/>
    <w:rsid w:val="001012C7"/>
    <w:rsid w:val="00105F38"/>
    <w:rsid w:val="001123CC"/>
    <w:rsid w:val="00115CCB"/>
    <w:rsid w:val="001269DE"/>
    <w:rsid w:val="00133239"/>
    <w:rsid w:val="00133BB1"/>
    <w:rsid w:val="00133E41"/>
    <w:rsid w:val="0013549A"/>
    <w:rsid w:val="0015379B"/>
    <w:rsid w:val="001567E8"/>
    <w:rsid w:val="00156F72"/>
    <w:rsid w:val="00166AD0"/>
    <w:rsid w:val="00170933"/>
    <w:rsid w:val="00172DB6"/>
    <w:rsid w:val="00173778"/>
    <w:rsid w:val="001811B2"/>
    <w:rsid w:val="0018138F"/>
    <w:rsid w:val="00182C0C"/>
    <w:rsid w:val="00184C12"/>
    <w:rsid w:val="00187380"/>
    <w:rsid w:val="00192085"/>
    <w:rsid w:val="00194209"/>
    <w:rsid w:val="001943B9"/>
    <w:rsid w:val="00195B09"/>
    <w:rsid w:val="001960D3"/>
    <w:rsid w:val="00196BC3"/>
    <w:rsid w:val="001A2DBE"/>
    <w:rsid w:val="001A39BB"/>
    <w:rsid w:val="001A450E"/>
    <w:rsid w:val="001A455F"/>
    <w:rsid w:val="001A51D5"/>
    <w:rsid w:val="001A7455"/>
    <w:rsid w:val="001B0FB5"/>
    <w:rsid w:val="001B31B8"/>
    <w:rsid w:val="001B537B"/>
    <w:rsid w:val="001B6C9F"/>
    <w:rsid w:val="001B6FD5"/>
    <w:rsid w:val="001C25E6"/>
    <w:rsid w:val="001C4314"/>
    <w:rsid w:val="001C71BF"/>
    <w:rsid w:val="001F0455"/>
    <w:rsid w:val="001F22D2"/>
    <w:rsid w:val="001F31AE"/>
    <w:rsid w:val="001F4804"/>
    <w:rsid w:val="00203248"/>
    <w:rsid w:val="00203F69"/>
    <w:rsid w:val="0020521B"/>
    <w:rsid w:val="002052DD"/>
    <w:rsid w:val="00205D35"/>
    <w:rsid w:val="00206C40"/>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4181"/>
    <w:rsid w:val="002A26AA"/>
    <w:rsid w:val="002B4046"/>
    <w:rsid w:val="002B57F1"/>
    <w:rsid w:val="002B6879"/>
    <w:rsid w:val="002B7A79"/>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10918"/>
    <w:rsid w:val="00310931"/>
    <w:rsid w:val="00312E70"/>
    <w:rsid w:val="00313EDA"/>
    <w:rsid w:val="00316ACB"/>
    <w:rsid w:val="003207CA"/>
    <w:rsid w:val="00321AF2"/>
    <w:rsid w:val="0032434F"/>
    <w:rsid w:val="00324D59"/>
    <w:rsid w:val="00340B9C"/>
    <w:rsid w:val="0034417F"/>
    <w:rsid w:val="00350C8A"/>
    <w:rsid w:val="00352BEA"/>
    <w:rsid w:val="00353E77"/>
    <w:rsid w:val="00356151"/>
    <w:rsid w:val="003567D4"/>
    <w:rsid w:val="00356BE8"/>
    <w:rsid w:val="00361335"/>
    <w:rsid w:val="00366978"/>
    <w:rsid w:val="00366AED"/>
    <w:rsid w:val="0036786C"/>
    <w:rsid w:val="00373527"/>
    <w:rsid w:val="00376B57"/>
    <w:rsid w:val="003813AE"/>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F66"/>
    <w:rsid w:val="003D3471"/>
    <w:rsid w:val="003D3715"/>
    <w:rsid w:val="003D6F83"/>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F06EF"/>
    <w:rsid w:val="004F5094"/>
    <w:rsid w:val="004F61A9"/>
    <w:rsid w:val="0050371D"/>
    <w:rsid w:val="00503E92"/>
    <w:rsid w:val="00507269"/>
    <w:rsid w:val="00512410"/>
    <w:rsid w:val="005210AD"/>
    <w:rsid w:val="00522FFC"/>
    <w:rsid w:val="00523E7D"/>
    <w:rsid w:val="00527166"/>
    <w:rsid w:val="0052777D"/>
    <w:rsid w:val="00531769"/>
    <w:rsid w:val="00532C21"/>
    <w:rsid w:val="005330A4"/>
    <w:rsid w:val="005345BE"/>
    <w:rsid w:val="00535196"/>
    <w:rsid w:val="005420B3"/>
    <w:rsid w:val="00545002"/>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912"/>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7583"/>
    <w:rsid w:val="006549A7"/>
    <w:rsid w:val="00655E5F"/>
    <w:rsid w:val="00656CBA"/>
    <w:rsid w:val="00664AD5"/>
    <w:rsid w:val="00664B38"/>
    <w:rsid w:val="00665E86"/>
    <w:rsid w:val="00667784"/>
    <w:rsid w:val="00667D57"/>
    <w:rsid w:val="00675DA5"/>
    <w:rsid w:val="00680134"/>
    <w:rsid w:val="00683742"/>
    <w:rsid w:val="00686229"/>
    <w:rsid w:val="0068631C"/>
    <w:rsid w:val="00692021"/>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72D"/>
    <w:rsid w:val="0073703D"/>
    <w:rsid w:val="00744D6E"/>
    <w:rsid w:val="00747562"/>
    <w:rsid w:val="007568BF"/>
    <w:rsid w:val="00756A81"/>
    <w:rsid w:val="007573E8"/>
    <w:rsid w:val="007634B7"/>
    <w:rsid w:val="007636B5"/>
    <w:rsid w:val="007637D7"/>
    <w:rsid w:val="00764D77"/>
    <w:rsid w:val="007743F9"/>
    <w:rsid w:val="0077612B"/>
    <w:rsid w:val="007772C8"/>
    <w:rsid w:val="00780562"/>
    <w:rsid w:val="007812E4"/>
    <w:rsid w:val="00784DC1"/>
    <w:rsid w:val="007852FA"/>
    <w:rsid w:val="00785A8D"/>
    <w:rsid w:val="0078631A"/>
    <w:rsid w:val="00791026"/>
    <w:rsid w:val="0079517F"/>
    <w:rsid w:val="00795C2B"/>
    <w:rsid w:val="007A06E5"/>
    <w:rsid w:val="007A2606"/>
    <w:rsid w:val="007A4DD8"/>
    <w:rsid w:val="007A70C7"/>
    <w:rsid w:val="007B11A6"/>
    <w:rsid w:val="007C3E2C"/>
    <w:rsid w:val="007D3F44"/>
    <w:rsid w:val="007D7BE1"/>
    <w:rsid w:val="007E092B"/>
    <w:rsid w:val="007E42B9"/>
    <w:rsid w:val="007E590C"/>
    <w:rsid w:val="007F0373"/>
    <w:rsid w:val="007F0D2E"/>
    <w:rsid w:val="007F33FE"/>
    <w:rsid w:val="007F60D1"/>
    <w:rsid w:val="00801AD8"/>
    <w:rsid w:val="00802EBE"/>
    <w:rsid w:val="0080405C"/>
    <w:rsid w:val="00810666"/>
    <w:rsid w:val="00810DE0"/>
    <w:rsid w:val="00813FA5"/>
    <w:rsid w:val="00815707"/>
    <w:rsid w:val="008213D9"/>
    <w:rsid w:val="008252C0"/>
    <w:rsid w:val="0083315A"/>
    <w:rsid w:val="0085274F"/>
    <w:rsid w:val="00852BE8"/>
    <w:rsid w:val="00855853"/>
    <w:rsid w:val="00861B4D"/>
    <w:rsid w:val="00863EEA"/>
    <w:rsid w:val="00866B77"/>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B7947"/>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37A33"/>
    <w:rsid w:val="00943666"/>
    <w:rsid w:val="009470D6"/>
    <w:rsid w:val="00954151"/>
    <w:rsid w:val="0095503D"/>
    <w:rsid w:val="00961559"/>
    <w:rsid w:val="0096158D"/>
    <w:rsid w:val="00962B48"/>
    <w:rsid w:val="00970D6F"/>
    <w:rsid w:val="00974222"/>
    <w:rsid w:val="009759D3"/>
    <w:rsid w:val="00976AD3"/>
    <w:rsid w:val="00980CD3"/>
    <w:rsid w:val="00983B75"/>
    <w:rsid w:val="00992109"/>
    <w:rsid w:val="00993F54"/>
    <w:rsid w:val="009958AA"/>
    <w:rsid w:val="00997197"/>
    <w:rsid w:val="009A04D7"/>
    <w:rsid w:val="009A1BB1"/>
    <w:rsid w:val="009A2250"/>
    <w:rsid w:val="009A7AFC"/>
    <w:rsid w:val="009B058C"/>
    <w:rsid w:val="009B7318"/>
    <w:rsid w:val="009B7F5B"/>
    <w:rsid w:val="009C0330"/>
    <w:rsid w:val="009C5938"/>
    <w:rsid w:val="009C716A"/>
    <w:rsid w:val="009C7A2F"/>
    <w:rsid w:val="009C7D3E"/>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450F"/>
    <w:rsid w:val="00A1543B"/>
    <w:rsid w:val="00A15CF8"/>
    <w:rsid w:val="00A23ADA"/>
    <w:rsid w:val="00A251BC"/>
    <w:rsid w:val="00A26448"/>
    <w:rsid w:val="00A327C9"/>
    <w:rsid w:val="00A332BD"/>
    <w:rsid w:val="00A33B74"/>
    <w:rsid w:val="00A3580B"/>
    <w:rsid w:val="00A41AA9"/>
    <w:rsid w:val="00A4574A"/>
    <w:rsid w:val="00A45F91"/>
    <w:rsid w:val="00A46FD5"/>
    <w:rsid w:val="00A470A9"/>
    <w:rsid w:val="00A51030"/>
    <w:rsid w:val="00A51DA4"/>
    <w:rsid w:val="00A53107"/>
    <w:rsid w:val="00A5323C"/>
    <w:rsid w:val="00A57E5B"/>
    <w:rsid w:val="00A62DAA"/>
    <w:rsid w:val="00A64A96"/>
    <w:rsid w:val="00A71A36"/>
    <w:rsid w:val="00A71DCF"/>
    <w:rsid w:val="00A728F0"/>
    <w:rsid w:val="00A766E8"/>
    <w:rsid w:val="00A76DBF"/>
    <w:rsid w:val="00A81213"/>
    <w:rsid w:val="00A82EF7"/>
    <w:rsid w:val="00A875DA"/>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D0184"/>
    <w:rsid w:val="00BD3A9C"/>
    <w:rsid w:val="00BD6E8F"/>
    <w:rsid w:val="00BD72C1"/>
    <w:rsid w:val="00BD7538"/>
    <w:rsid w:val="00BE1EDE"/>
    <w:rsid w:val="00BE24EE"/>
    <w:rsid w:val="00BE4B86"/>
    <w:rsid w:val="00BE59A1"/>
    <w:rsid w:val="00BE705F"/>
    <w:rsid w:val="00BE7E76"/>
    <w:rsid w:val="00BF2269"/>
    <w:rsid w:val="00BF3E7F"/>
    <w:rsid w:val="00BF5657"/>
    <w:rsid w:val="00BF746B"/>
    <w:rsid w:val="00C015FB"/>
    <w:rsid w:val="00C0258D"/>
    <w:rsid w:val="00C02A9D"/>
    <w:rsid w:val="00C040AD"/>
    <w:rsid w:val="00C052BA"/>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26CB"/>
    <w:rsid w:val="00C90896"/>
    <w:rsid w:val="00CA0583"/>
    <w:rsid w:val="00CA10B7"/>
    <w:rsid w:val="00CA2AB0"/>
    <w:rsid w:val="00CA43CD"/>
    <w:rsid w:val="00CB1DF3"/>
    <w:rsid w:val="00CB2165"/>
    <w:rsid w:val="00CB2DF3"/>
    <w:rsid w:val="00CB5F3F"/>
    <w:rsid w:val="00CB62EA"/>
    <w:rsid w:val="00CB7AF7"/>
    <w:rsid w:val="00CC2119"/>
    <w:rsid w:val="00CC222B"/>
    <w:rsid w:val="00CC2943"/>
    <w:rsid w:val="00CC2C37"/>
    <w:rsid w:val="00CC4DBC"/>
    <w:rsid w:val="00CD201A"/>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7346"/>
    <w:rsid w:val="00D11341"/>
    <w:rsid w:val="00D1260D"/>
    <w:rsid w:val="00D13DE3"/>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5AC0"/>
    <w:rsid w:val="00E46FED"/>
    <w:rsid w:val="00E524A1"/>
    <w:rsid w:val="00E55786"/>
    <w:rsid w:val="00E602E1"/>
    <w:rsid w:val="00E63179"/>
    <w:rsid w:val="00E70F60"/>
    <w:rsid w:val="00E719BD"/>
    <w:rsid w:val="00E73684"/>
    <w:rsid w:val="00E77AE0"/>
    <w:rsid w:val="00E82174"/>
    <w:rsid w:val="00E827B1"/>
    <w:rsid w:val="00E832DB"/>
    <w:rsid w:val="00E86C92"/>
    <w:rsid w:val="00E9087E"/>
    <w:rsid w:val="00E91CBC"/>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32354"/>
    <w:rsid w:val="00F3312E"/>
    <w:rsid w:val="00F4254B"/>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1181</Words>
  <Characters>6734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2021-10-04T09:09:00Z</cp:lastPrinted>
  <dcterms:created xsi:type="dcterms:W3CDTF">2022-10-25T12:10:00Z</dcterms:created>
  <dcterms:modified xsi:type="dcterms:W3CDTF">2022-10-25T12:12:00Z</dcterms:modified>
</cp:coreProperties>
</file>