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F077F2B" w:rsidR="002F28CC" w:rsidRPr="00664B38" w:rsidRDefault="00705A24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62B7B93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16AC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2F79D4EA" w:rsidR="002F28CC" w:rsidRPr="00CB2165" w:rsidRDefault="00705A24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A2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YILINDA EK MALİ TABLO DÜZENLEME SINIRI.</w:t>
            </w:r>
          </w:p>
        </w:tc>
      </w:tr>
      <w:bookmarkEnd w:id="0"/>
    </w:tbl>
    <w:p w14:paraId="0E492ED2" w14:textId="1DA677AE" w:rsidR="00CA10B7" w:rsidRDefault="00CA10B7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8603FB0" w14:textId="0A799080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2022 YILINDA</w:t>
      </w:r>
      <w:r w:rsidRPr="00E46A2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46A25">
        <w:rPr>
          <w:rFonts w:asciiTheme="majorHAnsi" w:hAnsiTheme="majorHAnsi" w:cstheme="majorHAnsi"/>
          <w:b/>
          <w:bCs/>
          <w:sz w:val="22"/>
          <w:szCs w:val="22"/>
        </w:rPr>
        <w:t>EK MALİ TABLO DÜZENLEME SINIRI</w:t>
      </w:r>
      <w:r w:rsidRPr="00E46A2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F78144F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CAFFE93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2021 yılı aktif toplamı 37,703,000 TL veya net satışlar toplamı 83,783,700 TL’yi aşan</w:t>
      </w:r>
    </w:p>
    <w:p w14:paraId="06C6527B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mükelleflerin, 2022 yılında verecekleri yıllık gelir veya kurumlar vergisi</w:t>
      </w:r>
    </w:p>
    <w:p w14:paraId="0156DC94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beyannamelerine temel mali tabloların yanı sıra ek mali tabloları da eklemeleri</w:t>
      </w:r>
    </w:p>
    <w:p w14:paraId="7C58CD76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gerekmektedir.</w:t>
      </w:r>
    </w:p>
    <w:p w14:paraId="75CF34CE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Muhasebe Sistemi Uygulama Genel Tebliğlerine göre ek mali tablolardan sadece kar</w:t>
      </w:r>
    </w:p>
    <w:p w14:paraId="2929C1D7" w14:textId="77777777" w:rsidR="00705A24" w:rsidRPr="00E46A25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46A25">
        <w:rPr>
          <w:rFonts w:asciiTheme="majorHAnsi" w:hAnsiTheme="majorHAnsi" w:cstheme="majorHAnsi"/>
          <w:b/>
          <w:bCs/>
          <w:sz w:val="22"/>
          <w:szCs w:val="22"/>
        </w:rPr>
        <w:t>dağıtım tablosunun eklenmesi yeterlidir.</w:t>
      </w:r>
    </w:p>
    <w:p w14:paraId="41FE2A73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18/09/1994 tarihli ve 22055 sayılı Resmi Gazetede yayımlanan 3 Sıra No.lu Muhasebe Sistemi</w:t>
      </w:r>
    </w:p>
    <w:p w14:paraId="4EAF5358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Uygulama Genel Tebliği (MSUGT) ile ek mali tabloları düzenlemek zorunda olan işletmelerin</w:t>
      </w:r>
    </w:p>
    <w:p w14:paraId="371D4171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belirlenmesinde aktif toplamı ve net satışların toplamı ölçütü getirilmişti.</w:t>
      </w:r>
    </w:p>
    <w:p w14:paraId="78646A28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Bu hüküm uyarınca, aktif toplamı veya net satışları toplamı belirli bir tutarı aşan mükellefler ek</w:t>
      </w:r>
    </w:p>
    <w:p w14:paraId="3F498621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mali tabloları düzenlemek zorundaydılar.</w:t>
      </w:r>
    </w:p>
    <w:p w14:paraId="02AB74BC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28/04/1998 tarihli ve 23326 sayılı Resmi Gazetede yayımlanan 8 Sıra MSUGT’de, ek mali</w:t>
      </w:r>
    </w:p>
    <w:p w14:paraId="06AA147C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tabloları düzenlemek zorunda olan mükelleflerin 1998 yılından itibaren verecekleri yıllık gelir</w:t>
      </w:r>
    </w:p>
    <w:p w14:paraId="45E097C4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veya kurumlar vergisi beyannamelerine ek mali tablolardan sadece "Kar Dağıtım Tablosu"nu</w:t>
      </w:r>
    </w:p>
    <w:p w14:paraId="542B05F2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eklemelerinin yeterli bulunduğu belirtilmiştir.</w:t>
      </w:r>
    </w:p>
    <w:p w14:paraId="118FF7F9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Daha sonra 19/12/2000 tarihli ve 24265 sayılı Resmi Gazetede yayımlanan 10 Sıra No.lu</w:t>
      </w:r>
    </w:p>
    <w:p w14:paraId="5B28C3E0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MSUGT’de; tebliğde yer alan parasal hadlerin, takip eden yıllarda Bakanlıklarınca ayrıca bir</w:t>
      </w:r>
    </w:p>
    <w:p w14:paraId="45EF5FF6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belirleme yapılmadığı takdirde, her yıl bir önceki yıl için Vergi Usul Kanunu hükümleri uyarınca</w:t>
      </w:r>
    </w:p>
    <w:p w14:paraId="0B413650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 xml:space="preserve">tespit edilen yeniden değerleme oranında artırılarak uygulanacağı; bu şekilde yapılacak </w:t>
      </w:r>
    </w:p>
    <w:p w14:paraId="6441DF2C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hesaplamada 50 lira ve daha düşük olan tutarlar dikkate alınmayacağı, 50 liradan fazla olan</w:t>
      </w:r>
    </w:p>
    <w:p w14:paraId="4E1B7C17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tutarların ise 100 liraya yükseltileceği belirtilmiştir.</w:t>
      </w:r>
    </w:p>
    <w:p w14:paraId="0F7467C8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Hazine ve Maliye Bakanlığı'nca çıkarılan ve 27.11.2021 tarihli ve 31672 sayılı Resmi</w:t>
      </w:r>
    </w:p>
    <w:p w14:paraId="7FBE2CEF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Gazetede yayımlanan 533 seri No.lu Vergi Usul Kanunu Genel Tebliği’nde, yeniden</w:t>
      </w:r>
    </w:p>
    <w:p w14:paraId="3DCEBF64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değerleme oranı 2021 yılı için %36,20 (otuz altı virgül yirmi) olarak tespit edilmiştir.</w:t>
      </w:r>
    </w:p>
    <w:p w14:paraId="3F912ED4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Bu düzenlemelere göre 2022 yılında ek mali tabloları düzenlemek zorunda olan mükellefler ile</w:t>
      </w:r>
    </w:p>
    <w:p w14:paraId="3FBE4A24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temel ve ek mali tablolar aşağıdaki gibidir.</w:t>
      </w:r>
    </w:p>
    <w:p w14:paraId="022F19BA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I-) 2022 YILINDA EK MALİ TABLOLARI DÜZENLEMEK ZORUNDA OLAN</w:t>
      </w:r>
    </w:p>
    <w:p w14:paraId="63FAB575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MÜKELLEFLER</w:t>
      </w:r>
    </w:p>
    <w:p w14:paraId="24102EE3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Yukarıda açıklanan düzenlemeler uyarınca 2021 yılı aktif toplamı 37,703,000 TL veya net</w:t>
      </w:r>
    </w:p>
    <w:p w14:paraId="1BE37BBB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satışlar toplamı 83,783,700 TL’yi aşan mükelleflerin, 2022 yılında verecekleri yıllık gelir</w:t>
      </w:r>
    </w:p>
    <w:p w14:paraId="010E706E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lastRenderedPageBreak/>
        <w:t>veya kurumlar vergisi beyannamelerine temel mali tabloların yanı sıra ek mali tabloları</w:t>
      </w:r>
    </w:p>
    <w:p w14:paraId="21FBE7FB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da eklemeleri gerekmektedir.</w:t>
      </w:r>
    </w:p>
    <w:p w14:paraId="57FF4E9E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Bu kapsamda, ek mali tablolardan sadece kar dağıtım tablosunun eklenmesi yeterlidir.</w:t>
      </w:r>
    </w:p>
    <w:p w14:paraId="7877DED8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II-) MUHASEBE SİSTEMİ UYGULAMA GENEL TEBLİĞİNE GÖRE TEMEL</w:t>
      </w:r>
    </w:p>
    <w:p w14:paraId="29AD0C17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MALİ TABLOLAR İLE EK MALİ TABLOLAR</w:t>
      </w:r>
    </w:p>
    <w:p w14:paraId="6EB59F80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1 Sıra No.lu Muhasebe Sistemi Uygulama Genel Tebliğine göre Temel Mali Tablolar ile Ek</w:t>
      </w:r>
    </w:p>
    <w:p w14:paraId="48B4E6D6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Mali Tablolar aşağıdaki gibidir.</w:t>
      </w:r>
    </w:p>
    <w:p w14:paraId="5F088AF7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1. Bilanço</w:t>
      </w:r>
    </w:p>
    <w:p w14:paraId="65C7FCCC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2. Gelir Tablosu</w:t>
      </w:r>
    </w:p>
    <w:p w14:paraId="4439FA7F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3. Satışların Maliyeti Tablosu</w:t>
      </w:r>
    </w:p>
    <w:p w14:paraId="7F4BB28C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4. Fon Akım Tabloları</w:t>
      </w:r>
    </w:p>
    <w:p w14:paraId="160DB1F4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5. Nakit Akım Tablosu</w:t>
      </w:r>
    </w:p>
    <w:p w14:paraId="26709251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6. Kâr Dağıtım Tablosu</w:t>
      </w:r>
    </w:p>
    <w:p w14:paraId="47A9FB80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7. Öz Kaynaklar Değişim Tablosu</w:t>
      </w:r>
    </w:p>
    <w:p w14:paraId="403E846E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Bu tablolardan, bilanço ve gelir tablosu dipnotları ve ekleri ile birlikte temel mali tabloları,</w:t>
      </w:r>
    </w:p>
    <w:p w14:paraId="396B5018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diğerleri ise ek mali tabloları oluşturmaktadır.</w:t>
      </w:r>
    </w:p>
    <w:p w14:paraId="64EC8447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III-) CEZA UYGULAMASI</w:t>
      </w:r>
    </w:p>
    <w:p w14:paraId="609B96A5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Vergi Usul Kanunu’nun 353/6’ncı maddesine göre, Kanuna göre belirlenen muhasebe</w:t>
      </w:r>
    </w:p>
    <w:p w14:paraId="4BEF25A3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standartlarına, tek düzen hesap planına ve mali tablolara ilişkin usul ve esaslar ile</w:t>
      </w:r>
    </w:p>
    <w:p w14:paraId="3083B50F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muhasebeye yönelik bilgisayar programlarının üretilmesine ve kullanılmasına ilişkin kural ve</w:t>
      </w:r>
    </w:p>
    <w:p w14:paraId="47C5C7EE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standartlara uymayanlara 534 Sıra No.lu Vergi Usul Kanunu Genel Tebliğine göre 2022 yılı</w:t>
      </w:r>
    </w:p>
    <w:p w14:paraId="0993DA3E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için 12.000 TL özel usulsüzlük cezası kesilmektedir.</w:t>
      </w:r>
    </w:p>
    <w:p w14:paraId="08283BC4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Diğer taraftan Vergi beyannameleri, bildirimler, evrak ve vesikaların kanunen belli şekil ve</w:t>
      </w:r>
    </w:p>
    <w:p w14:paraId="0A898D5F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muhteviyatı ve ekleri ile bunlarla ilgili olarak yapılan diğer düzenlemelere ilişkin hükümlere</w:t>
      </w:r>
    </w:p>
    <w:p w14:paraId="5A012DB5" w14:textId="77777777" w:rsidR="00705A24" w:rsidRP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uyulmamış olması Vergi Usul Kanunun 352/ II-7 bendi hükmüne göre ikinci derece usulsüzlük</w:t>
      </w:r>
    </w:p>
    <w:p w14:paraId="19A61CD9" w14:textId="7A435B6E" w:rsidR="00705A24" w:rsidRDefault="00705A24" w:rsidP="00705A2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5A24">
        <w:rPr>
          <w:rFonts w:asciiTheme="majorHAnsi" w:hAnsiTheme="majorHAnsi" w:cstheme="majorHAnsi"/>
          <w:sz w:val="22"/>
          <w:szCs w:val="22"/>
        </w:rPr>
        <w:t>cezası kesilmesini de gerektirmektedir.</w:t>
      </w:r>
    </w:p>
    <w:p w14:paraId="5CE505BD" w14:textId="591A04C4" w:rsidR="00705A24" w:rsidRDefault="00705A24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86A7" w14:textId="77777777" w:rsidR="00585853" w:rsidRDefault="00585853" w:rsidP="006A7CD4">
      <w:r>
        <w:separator/>
      </w:r>
    </w:p>
  </w:endnote>
  <w:endnote w:type="continuationSeparator" w:id="0">
    <w:p w14:paraId="505D9522" w14:textId="77777777" w:rsidR="00585853" w:rsidRDefault="0058585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32AE" w14:textId="77777777" w:rsidR="00585853" w:rsidRDefault="00585853" w:rsidP="006A7CD4">
      <w:r>
        <w:separator/>
      </w:r>
    </w:p>
  </w:footnote>
  <w:footnote w:type="continuationSeparator" w:id="0">
    <w:p w14:paraId="0ADD3F87" w14:textId="77777777" w:rsidR="00585853" w:rsidRDefault="0058585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29C1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85853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5A24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A25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2022-01-12T08:35:00Z</dcterms:created>
  <dcterms:modified xsi:type="dcterms:W3CDTF">2022-01-12T08:40:00Z</dcterms:modified>
</cp:coreProperties>
</file>