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6B279F6F" w:rsidR="002F28CC" w:rsidRPr="00664B38" w:rsidRDefault="000E4A96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  <w:r w:rsidR="0073672D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.03.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5D6B8274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DB73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0673E0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0E4A96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</w:tr>
      <w:tr w:rsidR="002F28CC" w:rsidRPr="00AD258C" w14:paraId="4DD9B45A" w14:textId="77777777" w:rsidTr="008A5B9A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91241915"/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0B5E9DE" w14:textId="269D7F8C" w:rsidR="002F28CC" w:rsidRPr="00CB2165" w:rsidRDefault="00B474D5" w:rsidP="008A5B9A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74D5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ALTIN CİNSİNDEN FİZİKİ VARLIKLARIN FİNANSAL SİSTEME KAZANDIRILMASI HAKKINDA TEBLİĞ YAYIMLANDI.</w:t>
            </w:r>
          </w:p>
        </w:tc>
      </w:tr>
      <w:bookmarkEnd w:id="0"/>
    </w:tbl>
    <w:p w14:paraId="41E8D5F8" w14:textId="77777777" w:rsidR="00263D27" w:rsidRDefault="00263D27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1DC50654" w14:textId="14D34399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474D5">
        <w:rPr>
          <w:rFonts w:asciiTheme="majorHAnsi" w:hAnsiTheme="majorHAnsi" w:cstheme="majorHAnsi"/>
          <w:b/>
          <w:bCs/>
          <w:sz w:val="22"/>
          <w:szCs w:val="22"/>
        </w:rPr>
        <w:t>ALTIN CİNSİNDEN FİZİKİ VARLIKLARIN FİNANSAL</w:t>
      </w:r>
      <w:r w:rsidR="00B474D5" w:rsidRPr="00B474D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B474D5">
        <w:rPr>
          <w:rFonts w:asciiTheme="majorHAnsi" w:hAnsiTheme="majorHAnsi" w:cstheme="majorHAnsi"/>
          <w:b/>
          <w:bCs/>
          <w:sz w:val="22"/>
          <w:szCs w:val="22"/>
        </w:rPr>
        <w:t>SİSTEME</w:t>
      </w:r>
      <w:r w:rsidR="00B474D5" w:rsidRPr="00B474D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B474D5">
        <w:rPr>
          <w:rFonts w:asciiTheme="majorHAnsi" w:hAnsiTheme="majorHAnsi" w:cstheme="majorHAnsi"/>
          <w:b/>
          <w:bCs/>
          <w:sz w:val="22"/>
          <w:szCs w:val="22"/>
        </w:rPr>
        <w:t>KAZANDIRILMASI HAKKINDA</w:t>
      </w:r>
      <w:r w:rsidR="00B474D5" w:rsidRPr="00B474D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B474D5">
        <w:rPr>
          <w:rFonts w:asciiTheme="majorHAnsi" w:hAnsiTheme="majorHAnsi" w:cstheme="majorHAnsi"/>
          <w:b/>
          <w:bCs/>
          <w:sz w:val="22"/>
          <w:szCs w:val="22"/>
        </w:rPr>
        <w:t>TEBLİĞ YAYIMLANDI</w:t>
      </w:r>
      <w:r w:rsidR="00B474D5" w:rsidRPr="00B474D5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2A908614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474D5">
        <w:rPr>
          <w:rFonts w:asciiTheme="majorHAnsi" w:hAnsiTheme="majorHAnsi" w:cstheme="majorHAnsi"/>
          <w:b/>
          <w:bCs/>
          <w:sz w:val="22"/>
          <w:szCs w:val="22"/>
        </w:rPr>
        <w:t>ÖZET</w:t>
      </w:r>
    </w:p>
    <w:p w14:paraId="057484A3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474D5">
        <w:rPr>
          <w:rFonts w:asciiTheme="majorHAnsi" w:hAnsiTheme="majorHAnsi" w:cstheme="majorHAnsi"/>
          <w:b/>
          <w:bCs/>
          <w:sz w:val="22"/>
          <w:szCs w:val="22"/>
        </w:rPr>
        <w:t>Yurt içi yerleşik gerçek ve tüzel kişilerin yetkili kuyumcular ve rafineriler aracılığıyla ya da</w:t>
      </w:r>
    </w:p>
    <w:p w14:paraId="62110CBF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474D5">
        <w:rPr>
          <w:rFonts w:asciiTheme="majorHAnsi" w:hAnsiTheme="majorHAnsi" w:cstheme="majorHAnsi"/>
          <w:b/>
          <w:bCs/>
          <w:sz w:val="22"/>
          <w:szCs w:val="22"/>
        </w:rPr>
        <w:t>doğrudan banka şubelerine gelerek bankalardaki altın hesaplarına yatırdıkları fiziki altın</w:t>
      </w:r>
    </w:p>
    <w:p w14:paraId="4322E9AE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474D5">
        <w:rPr>
          <w:rFonts w:asciiTheme="majorHAnsi" w:hAnsiTheme="majorHAnsi" w:cstheme="majorHAnsi"/>
          <w:b/>
          <w:bCs/>
          <w:sz w:val="22"/>
          <w:szCs w:val="22"/>
        </w:rPr>
        <w:t>varlıklarının Türk lirası cinsinden mevduat ve katılma hesaplarına dönüştürülmesine imkân</w:t>
      </w:r>
    </w:p>
    <w:p w14:paraId="2D6BA070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474D5">
        <w:rPr>
          <w:rFonts w:asciiTheme="majorHAnsi" w:hAnsiTheme="majorHAnsi" w:cstheme="majorHAnsi"/>
          <w:b/>
          <w:bCs/>
          <w:sz w:val="22"/>
          <w:szCs w:val="22"/>
        </w:rPr>
        <w:t>tanınmasına ve hesap sahiplerine sağlanacak desteğe ilişkin ALTIN CİNSİNDEN FİZİKİ</w:t>
      </w:r>
    </w:p>
    <w:p w14:paraId="14F6B591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474D5">
        <w:rPr>
          <w:rFonts w:asciiTheme="majorHAnsi" w:hAnsiTheme="majorHAnsi" w:cstheme="majorHAnsi"/>
          <w:b/>
          <w:bCs/>
          <w:sz w:val="22"/>
          <w:szCs w:val="22"/>
        </w:rPr>
        <w:t>VARLIKLARIN FİNANSAL SİSTEME KAZANDIRILMASI HAKKINDA TEBLİĞ yayımlandı.</w:t>
      </w:r>
    </w:p>
    <w:p w14:paraId="57A03D16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474D5">
        <w:rPr>
          <w:rFonts w:asciiTheme="majorHAnsi" w:hAnsiTheme="majorHAnsi" w:cstheme="majorHAnsi"/>
          <w:b/>
          <w:bCs/>
          <w:sz w:val="22"/>
          <w:szCs w:val="22"/>
        </w:rPr>
        <w:t>Ayrıca ALTIN HESAPLARINDAN TÜRK LİRASI MEVDUAT VE KATILMA HESAPLARINA</w:t>
      </w:r>
    </w:p>
    <w:p w14:paraId="395464C9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474D5">
        <w:rPr>
          <w:rFonts w:asciiTheme="majorHAnsi" w:hAnsiTheme="majorHAnsi" w:cstheme="majorHAnsi"/>
          <w:b/>
          <w:bCs/>
          <w:sz w:val="22"/>
          <w:szCs w:val="22"/>
        </w:rPr>
        <w:t>DÖNÜŞÜMÜN DESTEKLENMESİ HAKKINDA TEBLİĞ’in 4 üncü maddesinin birinci</w:t>
      </w:r>
    </w:p>
    <w:p w14:paraId="75AB4D28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474D5">
        <w:rPr>
          <w:rFonts w:asciiTheme="majorHAnsi" w:hAnsiTheme="majorHAnsi" w:cstheme="majorHAnsi"/>
          <w:b/>
          <w:bCs/>
          <w:sz w:val="22"/>
          <w:szCs w:val="22"/>
        </w:rPr>
        <w:t>fıkrasında değişiklik yapıldı ve yurt içi yerleşik gerçek kişilerin 28/12/2021, yurt içi yerleşik tüzel</w:t>
      </w:r>
    </w:p>
    <w:p w14:paraId="47BBE514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474D5">
        <w:rPr>
          <w:rFonts w:asciiTheme="majorHAnsi" w:hAnsiTheme="majorHAnsi" w:cstheme="majorHAnsi"/>
          <w:b/>
          <w:bCs/>
          <w:sz w:val="22"/>
          <w:szCs w:val="22"/>
        </w:rPr>
        <w:t>kişilerin ise 31/12/2021 tarihinde mevcut olan altın hesabının, hesap sahibinin talep etmesi</w:t>
      </w:r>
    </w:p>
    <w:p w14:paraId="0E4FF953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474D5">
        <w:rPr>
          <w:rFonts w:asciiTheme="majorHAnsi" w:hAnsiTheme="majorHAnsi" w:cstheme="majorHAnsi"/>
          <w:b/>
          <w:bCs/>
          <w:sz w:val="22"/>
          <w:szCs w:val="22"/>
        </w:rPr>
        <w:t>halinde dönüşüm fiyatı üzerinden Türk lirasına çevrilmesi uygulamasında “bu tarihten sonra</w:t>
      </w:r>
    </w:p>
    <w:p w14:paraId="2D1C9C73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474D5">
        <w:rPr>
          <w:rFonts w:asciiTheme="majorHAnsi" w:hAnsiTheme="majorHAnsi" w:cstheme="majorHAnsi"/>
          <w:b/>
          <w:bCs/>
          <w:sz w:val="22"/>
          <w:szCs w:val="22"/>
        </w:rPr>
        <w:t>açılacak işlenmiş ve hurda altın karşılığı altın hesabı bakiyeleri” ibaresi madde metninden</w:t>
      </w:r>
    </w:p>
    <w:p w14:paraId="3DAAC391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474D5">
        <w:rPr>
          <w:rFonts w:asciiTheme="majorHAnsi" w:hAnsiTheme="majorHAnsi" w:cstheme="majorHAnsi"/>
          <w:b/>
          <w:bCs/>
          <w:sz w:val="22"/>
          <w:szCs w:val="22"/>
        </w:rPr>
        <w:t>çıkarıldı.</w:t>
      </w:r>
    </w:p>
    <w:p w14:paraId="5B1D58B5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Türkiye Cumhuriyet Merkez Bankası tarafından hazırlanan ve 14.03.2022 tarih ve 31778 sayılı</w:t>
      </w:r>
    </w:p>
    <w:p w14:paraId="0FE0F917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Resmi Gazetede yayımlanan ALTIN CİNSİNDEN FİZİKİ VARLIKLARIN FİNANSAL SİSTEME</w:t>
      </w:r>
    </w:p>
    <w:p w14:paraId="44C098F5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KAZANDIRILMASI HAKKINDA TEBLİĞ ile yurt içi yerleşik gerçek ve tüzel kişilerin yetkili</w:t>
      </w:r>
    </w:p>
    <w:p w14:paraId="2BB8D249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kuyumcular ve rafineriler aracılığıyla ya da doğrudan banka şubelerine gelerek bankalardaki</w:t>
      </w:r>
    </w:p>
    <w:p w14:paraId="6C6807D8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altın hesaplarına yatırdıkları fiziki altın varlıklarının Türk lirası cinsinden mevduat ve katılma</w:t>
      </w:r>
    </w:p>
    <w:p w14:paraId="6E01D4B0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hesaplarına dönüştürülmesine imkân tanınmasına ve hesap sahiplerine sağlanacak desteğe</w:t>
      </w:r>
    </w:p>
    <w:p w14:paraId="57496171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ilişkin usul ve esaslar hakkında düzenlemede bulunulmuştur.</w:t>
      </w:r>
    </w:p>
    <w:p w14:paraId="765ABCF1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Tebliğ düzenlemeleri özetle aşağıdaki gibidir:</w:t>
      </w:r>
    </w:p>
    <w:p w14:paraId="120F72E6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I-Tanımlar</w:t>
      </w:r>
    </w:p>
    <w:p w14:paraId="75B79314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(1) Tebliğde geçen;</w:t>
      </w:r>
    </w:p>
    <w:p w14:paraId="1E9268F1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a) Altın kabul sistemi (AKS): Yetkili rafineriler tarafından oluşturulmuş, yetkili kuyumcular ve</w:t>
      </w:r>
    </w:p>
    <w:p w14:paraId="71D0B6FF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bankalar tarafından kullanılan tüm bilişim sistemleri ile banka şubelerinde yetkili rafineriler</w:t>
      </w:r>
    </w:p>
    <w:p w14:paraId="6F093F7B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tarafından atanan eksperler aracılığıyla gerçekleştirilen altın toplama sistemlerini,</w:t>
      </w:r>
    </w:p>
    <w:p w14:paraId="50D552C9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b) Banka: 5411 sayılı Kanunun 3 üncü maddesinde tanımlanan mevduat ve katılım</w:t>
      </w:r>
    </w:p>
    <w:p w14:paraId="22D5C1A9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bankalarını,</w:t>
      </w:r>
    </w:p>
    <w:p w14:paraId="7D7345A9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c) Dönüşüm fiyatı: Yurt içi yerleşik gerçek ve tüzel kişilerce fiziki olarak bankalardaki altın</w:t>
      </w:r>
    </w:p>
    <w:p w14:paraId="4A44595B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lastRenderedPageBreak/>
        <w:t>hesaplarına getirilen altının gram karşılığının Türk lirasına çevrildiği gün Merkez Bankasınca</w:t>
      </w:r>
    </w:p>
    <w:p w14:paraId="3B24E6BA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belirlenecek usul ve esaslara göre ilan edilen gram altının Türk lirası karşılığı alış fiyatını,</w:t>
      </w:r>
    </w:p>
    <w:p w14:paraId="11B45247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ç) Fiziki altın: Yetkili kuyumcular veya bankalar tarafından teslim alınan ve 11/8/1989 tarihli</w:t>
      </w:r>
    </w:p>
    <w:p w14:paraId="4DC52610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ve 20249 sayılı Resmî Gazetede yayımlanan Türk Parası Kıymetini Koruma Hakkında 32</w:t>
      </w:r>
    </w:p>
    <w:p w14:paraId="1F521D77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sayılı Kararda tanımlanan standart işlenmemiş altınlardan 1 kilogram ve altındaki külçe ve bar</w:t>
      </w:r>
    </w:p>
    <w:p w14:paraId="2C41160E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şeklindeki altınları, standart dışı işlenmemiş altınlardan hurda şeklindeki altınları ve işlenmiş</w:t>
      </w:r>
    </w:p>
    <w:p w14:paraId="57F7D6EC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altınları,</w:t>
      </w:r>
    </w:p>
    <w:p w14:paraId="59FD12A5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d) Merkez Bankası: Türkiye Cumhuriyet Merkez Bankasını,</w:t>
      </w:r>
    </w:p>
    <w:p w14:paraId="5CC127E5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e) BİST: Borsa İstanbul A.Ş.’yi,</w:t>
      </w:r>
    </w:p>
    <w:p w14:paraId="792461DE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f) Milyem değeri: 22/6/2016 tarihli ve 29750 sayılı Resmî Gazete’de yayımlanan Bankaların</w:t>
      </w:r>
    </w:p>
    <w:p w14:paraId="03CB6E26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Kıymetli Maden Alım Satımına İlişkin Usul ve Esaslar Hakkında Yönetmelik ile belirlenen</w:t>
      </w:r>
    </w:p>
    <w:p w14:paraId="2E4D5BE2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milyem değerleri asgari ölçüt olmak üzere kullanılacak milyem değerlerini,</w:t>
      </w:r>
    </w:p>
    <w:p w14:paraId="68CAA9CB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g) Standart altın: En az 995/1000 saflıkta olan, Londra Altın Piyasasınca (London Bullion</w:t>
      </w:r>
    </w:p>
    <w:p w14:paraId="41E0AF88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Market Association-LBMA) veya BİST nezdindeki Kıymetli Madenler ve Kıymetli Taşlar</w:t>
      </w:r>
    </w:p>
    <w:p w14:paraId="63BAC5A0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Piyasasınca tanınan rafinerilerden birinin amblemini ya da damgasını ve seri numarasını</w:t>
      </w:r>
    </w:p>
    <w:p w14:paraId="0F3C876F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taşıyan, bu piyasalarda standart altın olarak işlem gören en az 1 kg ağırlığındaki külçe altınları,</w:t>
      </w:r>
    </w:p>
    <w:p w14:paraId="20246DEA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ğ) Vade sonu fiyatı: Türk lirası mevduat veya katılma hesabının vadesinde saat 11:00’de</w:t>
      </w:r>
    </w:p>
    <w:p w14:paraId="30997384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Merkez Bankası tarafından ilan edilen 995/1000 veya 1000/1000 saflıktaki gram altının Türk</w:t>
      </w:r>
    </w:p>
    <w:p w14:paraId="09F149B3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lirası karşılığı alış fiyatını,</w:t>
      </w:r>
    </w:p>
    <w:p w14:paraId="08A51B18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h) Yetkili kuyumcu: 14/4/2021 tarihli ve 31454 sayılı Resmî Gazetede yayımlanan Kuyum</w:t>
      </w:r>
    </w:p>
    <w:p w14:paraId="410D0AA3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Ticareti Hakkında Yönetmelik uyarınca yetki belgesi almış kuyum işletmelerinden yetkili</w:t>
      </w:r>
    </w:p>
    <w:p w14:paraId="2C5DDB6B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rafineriler ile anlaşması bulunan ve AKS’ye erişimi olan kuyumcuları,</w:t>
      </w:r>
    </w:p>
    <w:p w14:paraId="420296C4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ı) Yetkili rafineri: BİST Rafineriler Listesinde yer alan Türkiye’de kurulu ve bankalar ile altın</w:t>
      </w:r>
    </w:p>
    <w:p w14:paraId="785EB3F8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cinsinden fiziki varlıkların finansal sisteme kazandırılması amacıyla anlaşma yapan AKS’ye</w:t>
      </w:r>
    </w:p>
    <w:p w14:paraId="642B17F8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erişimi olan rafinerileri,</w:t>
      </w:r>
    </w:p>
    <w:p w14:paraId="64436E11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i) Yurt içi yerleşik gerçek kişi: Yurt dışında işçi, serbest meslek müstakil iş sahibi Türk</w:t>
      </w:r>
    </w:p>
    <w:p w14:paraId="09E26E60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vatandaşları dahil Türkiye’de kanuni yerleşim yeri bulunan gerçek kişileri,</w:t>
      </w:r>
    </w:p>
    <w:p w14:paraId="4EB11771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j) Yurt içi yerleşik tüzel kişi: Bankalar ve Merkez Bankasınca belirlenen diğer mali kuruluşlar</w:t>
      </w:r>
    </w:p>
    <w:p w14:paraId="7ADD1739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hariç olmak üzere Türkiye'de kanuni yerleşim yeri bulunan tüzel kişileri,</w:t>
      </w:r>
    </w:p>
    <w:p w14:paraId="0ED0E95C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ifade eder.</w:t>
      </w:r>
    </w:p>
    <w:p w14:paraId="7F952770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II-Fiziki altınların kabulü</w:t>
      </w:r>
    </w:p>
    <w:p w14:paraId="1816FCA9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1) Uygulamaya katılmak isteyen yurt içi yerleşik gerçek ve tüzel kişilerin işlem anında yetkili</w:t>
      </w:r>
    </w:p>
    <w:p w14:paraId="44E7945E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rafineriyle anlaşması olan bankalar nezdinde altın hesabının bulunması gerekmektedir.</w:t>
      </w:r>
    </w:p>
    <w:p w14:paraId="0333C41A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(2) Yurt içi yerleşik gerçek ve tüzel kişiler fiziki altınlarını, milyem değeri üzerinden</w:t>
      </w:r>
    </w:p>
    <w:p w14:paraId="73F6C6C6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hesaplanacak gram cinsinden has altın miktarını tespit etmek üzere yetkili kuyumcuya veya</w:t>
      </w:r>
    </w:p>
    <w:p w14:paraId="5D349603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bankaya teslim eder.</w:t>
      </w:r>
    </w:p>
    <w:p w14:paraId="456BDA37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(3) AKS ile mutabakatı sağlanan has altın miktarı yurt içi yerleşik gerçek veya tüzel kişinin</w:t>
      </w:r>
    </w:p>
    <w:p w14:paraId="559F43C0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bankadaki altın hesabına işlem anında yetkili rafineri veya banka aracılığıyla aktarılır.</w:t>
      </w:r>
    </w:p>
    <w:p w14:paraId="59F6F96F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(4) Yetkili kuyumcu veya banka tarafından fiziki olarak teslim alınan altınlar işlenmek üzere</w:t>
      </w:r>
    </w:p>
    <w:p w14:paraId="72CC0B9C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yetkili rafineriye teslim edilir.</w:t>
      </w:r>
    </w:p>
    <w:p w14:paraId="18E65C48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(5) Yetkili rafineri tarafından işlenerek standart altına tamamlananlar ilgili bankaya fiziki olarak</w:t>
      </w:r>
    </w:p>
    <w:p w14:paraId="586EEC54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transfer edilir.</w:t>
      </w:r>
    </w:p>
    <w:p w14:paraId="326D38DE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III-Altın hesaplarının dönüşümü</w:t>
      </w:r>
    </w:p>
    <w:p w14:paraId="232B7B23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(1) Hesap sahibinin talep etmesi durumunda hesabındaki has altın bakiyesi dönüşüm fiyatı</w:t>
      </w:r>
    </w:p>
    <w:p w14:paraId="561FA310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üzerinden Türk lirasına çevrilerek 3, 6 ay veya 1 yıl vadeli Türk lirası mevduat veya katılma</w:t>
      </w:r>
    </w:p>
    <w:p w14:paraId="16BF833E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hesabı açılır.</w:t>
      </w:r>
    </w:p>
    <w:p w14:paraId="4C1AA09D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(2) Türk lirası mevduat veya katılma hesabına dönüştürülen altınlar bankalarca dönüşüm fiyatı</w:t>
      </w:r>
    </w:p>
    <w:p w14:paraId="34907EA1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üzerinden Merkez Bankasına satılır.</w:t>
      </w:r>
    </w:p>
    <w:p w14:paraId="2656A6EE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(3) Bankanın mevduat hesabına uygulayacağı faiz oranı Merkez Bankasınca belirlenen bir</w:t>
      </w:r>
    </w:p>
    <w:p w14:paraId="654EB407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hafta vadeli repo ihale faiz oranının altında olamaz. Katılma hesabına sağlanacak getirinin</w:t>
      </w:r>
    </w:p>
    <w:p w14:paraId="175D59E5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Merkez Bankasının katılım bankaları ile açık piyasa işlemleri kapsamında yaptığı bir hafta</w:t>
      </w:r>
    </w:p>
    <w:p w14:paraId="734E6880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vadeli geri satım vaadi ile alım işlemlerinde oluşan maliyetten düşük olması halinde aradaki</w:t>
      </w:r>
    </w:p>
    <w:p w14:paraId="3E97197D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farkı katılım bankacılığı esasları çerçevesinde katılım bankası karşılayabilir, karşılanmayan</w:t>
      </w:r>
    </w:p>
    <w:p w14:paraId="45B99C16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kısım için Merkez Bankasınca ödeme yapılmaz.</w:t>
      </w:r>
    </w:p>
    <w:p w14:paraId="7CA5E35C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(4) Merkez Bankası, bankanın mevduat hesabına uygulayacağı azami faiz oranını belirlemeye</w:t>
      </w:r>
    </w:p>
    <w:p w14:paraId="03104BCB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yetkilidir.</w:t>
      </w:r>
    </w:p>
    <w:p w14:paraId="23385888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(5) Merkez Bankası tarafından bu uygulama kapsamında açılan Türk lirası mevduat veya</w:t>
      </w:r>
    </w:p>
    <w:p w14:paraId="43A90C36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katılma hesaplarına vade sonunda yenilenme imkânı tanınabilir. Yenilenen hesap ilk açılışta</w:t>
      </w:r>
    </w:p>
    <w:p w14:paraId="474643F1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dönüşümü yapılan altın tutarı ve vade sonu fiyatı üzerinden destekten yararlanmaya devam</w:t>
      </w:r>
    </w:p>
    <w:p w14:paraId="6DA94399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eder. Hesabın yenilenmesine ilişkin kapsam, usul ve esaslar Merkez Bankasınca belirlenir.</w:t>
      </w:r>
    </w:p>
    <w:p w14:paraId="119336A0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IV-Vade sonu işlemleri</w:t>
      </w:r>
    </w:p>
    <w:p w14:paraId="57A35D48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(1) 3, 6 ay veya 1 yıl vadeli olarak açılan Türk lirası mevduat veya katılma hesaplarına vade</w:t>
      </w:r>
    </w:p>
    <w:p w14:paraId="313E8619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sonunda Türk lirası mevduat hesabı sahibine anapara ile faiz, katılma hesabı sahibine ise</w:t>
      </w:r>
    </w:p>
    <w:p w14:paraId="46AB38FC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vade sonundaki katılma hesabı bakiyesi banka tarafından ödenir.</w:t>
      </w:r>
    </w:p>
    <w:p w14:paraId="31B5F576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(2) Vade sonu fiyatının dönüşüm fiyatından yüksek olması ve fiyat farkı üzerinden hesaplanan</w:t>
      </w:r>
    </w:p>
    <w:p w14:paraId="2C968882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tutarın banka tarafından ödenecek faiz veya kâr payından yüksek olması durumunda, fiyat</w:t>
      </w:r>
    </w:p>
    <w:p w14:paraId="25FFB87F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farkı üzerinden hesaplanan tutardan faiz veya kâr payı düşülerek hesaplanan tutar Merkez</w:t>
      </w:r>
    </w:p>
    <w:p w14:paraId="5E55AEBC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Bankasınca mevduat veya katılma hesabı sahibine ödenmek üzere ilgili bankaya aktarılır.</w:t>
      </w:r>
    </w:p>
    <w:p w14:paraId="181D50E5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(3) Türk lirası mevduat veya katılma hesabından vadeden önce çekim yapılması halinde</w:t>
      </w:r>
    </w:p>
    <w:p w14:paraId="37B51890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Merkez Bankasınca fiyat farkına ilişkin ödeme yapılmaz.</w:t>
      </w:r>
    </w:p>
    <w:p w14:paraId="397C2F12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(4) Bu uygulama kapsamında açılan Türk lirası mevduat veya katılma hesaplarına Merkez</w:t>
      </w:r>
    </w:p>
    <w:p w14:paraId="6C268873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Bankasınca belirlenecek usul ve esaslara göre vade sonunda ilave getiri ödenebilir.</w:t>
      </w:r>
    </w:p>
    <w:p w14:paraId="1D4D857C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(5) 29/12/2021 tarihli ve 31704 sayılı Resmî Gazetede yayımlanan Altın Hesaplarından Türk</w:t>
      </w:r>
    </w:p>
    <w:p w14:paraId="4206BA7E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Lirası Mevduat ve Katılma Hesaplarına Dönüşümün Desteklenmesi Hakkında Tebliğ (Sayı:</w:t>
      </w:r>
    </w:p>
    <w:p w14:paraId="172D4273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2021/16) kapsamında işlenmiş ve hurda altın karşılığının Türk lirasına dönüştürülmesi</w:t>
      </w:r>
    </w:p>
    <w:p w14:paraId="3E5B04FA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suretiyle açılan hesaplar da dördüncü fıkrada belirtilen ilave getiriden yararlanabilir.</w:t>
      </w:r>
    </w:p>
    <w:p w14:paraId="44DAC46F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(6) Bu Tebliğ kapsamında gerçekleştirilecek her türlü işlemin, suç gelirlerinin aklanması ve</w:t>
      </w:r>
    </w:p>
    <w:p w14:paraId="17AEB975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terörün finansmanının önlenmesine ilişkin ulusal ve uluslararası standartlara uygun</w:t>
      </w:r>
    </w:p>
    <w:p w14:paraId="250D7CE5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gerçekleştirildiğine dair kontrol bankalarca yapılır.</w:t>
      </w:r>
    </w:p>
    <w:p w14:paraId="09CC5591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V- İstisnalar</w:t>
      </w:r>
    </w:p>
    <w:p w14:paraId="7EFB58BD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(1) 16/10/2006 tarihli ve 2006/11188 sayılı Bakanlar Kurulu Kararı ile yürürlüğe konulan</w:t>
      </w:r>
    </w:p>
    <w:p w14:paraId="0B884C4A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Mevduat ve Kredi Faiz Oranları ve Katılma Hesapları Kâr ve Zarara Katılma Oranları ile Özel</w:t>
      </w:r>
    </w:p>
    <w:p w14:paraId="06E36FA7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Cari Hesaplar Dahil Bu İşlemlerde Sağlanacak Diğer Menfaatler Hakkında Kararın 4 üncü</w:t>
      </w:r>
    </w:p>
    <w:p w14:paraId="5E3F190E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maddesinin birinci fıkrası ile 10/2/2020 tarihli ve 31035 sayılı Resmî Gazetede yayımlanan</w:t>
      </w:r>
    </w:p>
    <w:p w14:paraId="35B1218D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Mevduat ve Kredi Faiz Oranları ve Katılma Hesapları Kâr ve Zarara Katılma Oranları Hakkında</w:t>
      </w:r>
    </w:p>
    <w:p w14:paraId="6760F48A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Tebliğ (Sayı: 2020/3)’in 3 üncü maddesinin birinci fıkrasının birinci cümlesi ve dördüncü fıkrası</w:t>
      </w:r>
    </w:p>
    <w:p w14:paraId="0D923591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hükümleri bu Tebliğ kapsamında açılacak Türk lirası mevduat ve katılma hesaplarına</w:t>
      </w:r>
    </w:p>
    <w:p w14:paraId="3D1DB093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uygulanmaz.</w:t>
      </w:r>
    </w:p>
    <w:p w14:paraId="370BDA62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VI- Diğer hükümler</w:t>
      </w:r>
    </w:p>
    <w:p w14:paraId="5CC5B96B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(1) Bu Tebliğ kapsamında işlem yapan yetkili kuyumcu, yetkili rafineri ve bankalara, Merkez</w:t>
      </w:r>
    </w:p>
    <w:p w14:paraId="28671337" w14:textId="77777777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Bankasının belirleyeceği usul ve esaslar çerçevesinde komisyon ve/veya masraf ödenebilir.</w:t>
      </w:r>
    </w:p>
    <w:p w14:paraId="02225757" w14:textId="1558FA8D" w:rsidR="000E4A96" w:rsidRPr="00B474D5" w:rsidRDefault="000E4A96" w:rsidP="000E4A9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4D5">
        <w:rPr>
          <w:rFonts w:asciiTheme="majorHAnsi" w:hAnsiTheme="majorHAnsi" w:cstheme="majorHAnsi"/>
          <w:sz w:val="22"/>
          <w:szCs w:val="22"/>
        </w:rPr>
        <w:t>Tebliğ yayımı tarihinde yürürlüğe girmiştir.</w:t>
      </w:r>
    </w:p>
    <w:p w14:paraId="36978492" w14:textId="77777777" w:rsidR="000E4A96" w:rsidRDefault="000E4A96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661A90E7" w14:textId="256F0251" w:rsidR="009E76F9" w:rsidRDefault="000E4A96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>
        <w:rPr>
          <w:b/>
          <w:bCs/>
        </w:rPr>
        <w:t>B</w:t>
      </w:r>
      <w:r w:rsidR="009E76F9" w:rsidRPr="0005394D">
        <w:rPr>
          <w:b/>
          <w:bCs/>
        </w:rPr>
        <w:t>ilgilerinize sunulur.</w:t>
      </w:r>
      <w:r w:rsidR="009E76F9">
        <w:rPr>
          <w:b/>
          <w:bCs/>
        </w:rPr>
        <w:tab/>
      </w:r>
    </w:p>
    <w:p w14:paraId="756E98A9" w14:textId="7D1276EE" w:rsidR="0073672D" w:rsidRDefault="009E76F9" w:rsidP="0073672D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  <w:r w:rsidRPr="0005394D">
        <w:rPr>
          <w:b/>
          <w:bCs/>
        </w:rPr>
        <w:t>S</w:t>
      </w:r>
      <w:r w:rsidRPr="009D4954">
        <w:rPr>
          <w:b/>
          <w:bCs/>
        </w:rPr>
        <w:t>ayg</w:t>
      </w:r>
      <w:r w:rsidR="0073672D">
        <w:rPr>
          <w:b/>
          <w:bCs/>
        </w:rPr>
        <w:t>ılarımızla…</w:t>
      </w:r>
    </w:p>
    <w:sectPr w:rsidR="0073672D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F29CA" w14:textId="77777777" w:rsidR="00B07CA6" w:rsidRDefault="00B07CA6" w:rsidP="006A7CD4">
      <w:r>
        <w:separator/>
      </w:r>
    </w:p>
  </w:endnote>
  <w:endnote w:type="continuationSeparator" w:id="0">
    <w:p w14:paraId="02DEB676" w14:textId="77777777" w:rsidR="00B07CA6" w:rsidRDefault="00B07CA6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>Ataköy 7-8-9-10. Kısım Mah. Çobançeşme E-5 Yanyol Cad. No:20 Ataköy Towers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2FA67" w14:textId="77777777" w:rsidR="00B07CA6" w:rsidRDefault="00B07CA6" w:rsidP="006A7CD4">
      <w:r>
        <w:separator/>
      </w:r>
    </w:p>
  </w:footnote>
  <w:footnote w:type="continuationSeparator" w:id="0">
    <w:p w14:paraId="73D59F8C" w14:textId="77777777" w:rsidR="00B07CA6" w:rsidRDefault="00B07CA6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9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3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8"/>
  </w:num>
  <w:num w:numId="5">
    <w:abstractNumId w:val="12"/>
  </w:num>
  <w:num w:numId="6">
    <w:abstractNumId w:val="20"/>
  </w:num>
  <w:num w:numId="7">
    <w:abstractNumId w:val="17"/>
  </w:num>
  <w:num w:numId="8">
    <w:abstractNumId w:val="11"/>
  </w:num>
  <w:num w:numId="9">
    <w:abstractNumId w:val="3"/>
  </w:num>
  <w:num w:numId="10">
    <w:abstractNumId w:val="27"/>
  </w:num>
  <w:num w:numId="11">
    <w:abstractNumId w:val="9"/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0"/>
  </w:num>
  <w:num w:numId="15">
    <w:abstractNumId w:val="26"/>
  </w:num>
  <w:num w:numId="16">
    <w:abstractNumId w:val="6"/>
  </w:num>
  <w:num w:numId="17">
    <w:abstractNumId w:val="4"/>
  </w:num>
  <w:num w:numId="18">
    <w:abstractNumId w:val="16"/>
  </w:num>
  <w:num w:numId="19">
    <w:abstractNumId w:val="28"/>
  </w:num>
  <w:num w:numId="20">
    <w:abstractNumId w:val="5"/>
  </w:num>
  <w:num w:numId="21">
    <w:abstractNumId w:val="21"/>
  </w:num>
  <w:num w:numId="22">
    <w:abstractNumId w:val="15"/>
  </w:num>
  <w:num w:numId="23">
    <w:abstractNumId w:val="0"/>
  </w:num>
  <w:num w:numId="24">
    <w:abstractNumId w:val="33"/>
  </w:num>
  <w:num w:numId="25">
    <w:abstractNumId w:val="18"/>
  </w:num>
  <w:num w:numId="26">
    <w:abstractNumId w:val="34"/>
  </w:num>
  <w:num w:numId="27">
    <w:abstractNumId w:val="14"/>
  </w:num>
  <w:num w:numId="28">
    <w:abstractNumId w:val="12"/>
    <w:lvlOverride w:ilvl="0">
      <w:startOverride w:val="1"/>
    </w:lvlOverride>
  </w:num>
  <w:num w:numId="29">
    <w:abstractNumId w:val="22"/>
  </w:num>
  <w:num w:numId="30">
    <w:abstractNumId w:val="31"/>
  </w:num>
  <w:num w:numId="31">
    <w:abstractNumId w:val="2"/>
  </w:num>
  <w:num w:numId="32">
    <w:abstractNumId w:val="24"/>
  </w:num>
  <w:num w:numId="33">
    <w:abstractNumId w:val="23"/>
  </w:num>
  <w:num w:numId="34">
    <w:abstractNumId w:val="29"/>
  </w:num>
  <w:num w:numId="35">
    <w:abstractNumId w:val="32"/>
  </w:num>
  <w:num w:numId="36">
    <w:abstractNumId w:val="1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05C43"/>
    <w:rsid w:val="000100BD"/>
    <w:rsid w:val="000116E4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31447"/>
    <w:rsid w:val="00032F86"/>
    <w:rsid w:val="00035A96"/>
    <w:rsid w:val="000373A3"/>
    <w:rsid w:val="000424F5"/>
    <w:rsid w:val="0004599B"/>
    <w:rsid w:val="000575C9"/>
    <w:rsid w:val="00064834"/>
    <w:rsid w:val="000673E0"/>
    <w:rsid w:val="00067483"/>
    <w:rsid w:val="00081FDE"/>
    <w:rsid w:val="000830A5"/>
    <w:rsid w:val="00087B4F"/>
    <w:rsid w:val="000931EE"/>
    <w:rsid w:val="000A113D"/>
    <w:rsid w:val="000B2DC3"/>
    <w:rsid w:val="000B60CD"/>
    <w:rsid w:val="000B6587"/>
    <w:rsid w:val="000C01EF"/>
    <w:rsid w:val="000D5CCA"/>
    <w:rsid w:val="000D6E15"/>
    <w:rsid w:val="000E1D2D"/>
    <w:rsid w:val="000E4A96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E41"/>
    <w:rsid w:val="0015379B"/>
    <w:rsid w:val="00156F72"/>
    <w:rsid w:val="00166AD0"/>
    <w:rsid w:val="00170933"/>
    <w:rsid w:val="00173778"/>
    <w:rsid w:val="001811B2"/>
    <w:rsid w:val="0018138F"/>
    <w:rsid w:val="00182C0C"/>
    <w:rsid w:val="00187380"/>
    <w:rsid w:val="00192085"/>
    <w:rsid w:val="001943B9"/>
    <w:rsid w:val="001960D3"/>
    <w:rsid w:val="00196BC3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C71BF"/>
    <w:rsid w:val="001F0455"/>
    <w:rsid w:val="001F4804"/>
    <w:rsid w:val="00203248"/>
    <w:rsid w:val="00203F69"/>
    <w:rsid w:val="0020521B"/>
    <w:rsid w:val="002052DD"/>
    <w:rsid w:val="00206C40"/>
    <w:rsid w:val="0021106B"/>
    <w:rsid w:val="00212F4A"/>
    <w:rsid w:val="00220E43"/>
    <w:rsid w:val="002253D5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4181"/>
    <w:rsid w:val="002B4046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F0233"/>
    <w:rsid w:val="002F0991"/>
    <w:rsid w:val="002F28CC"/>
    <w:rsid w:val="002F3031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24D59"/>
    <w:rsid w:val="00340B9C"/>
    <w:rsid w:val="0034417F"/>
    <w:rsid w:val="00350C8A"/>
    <w:rsid w:val="00352BEA"/>
    <w:rsid w:val="00353E77"/>
    <w:rsid w:val="003567D4"/>
    <w:rsid w:val="00356BE8"/>
    <w:rsid w:val="00361335"/>
    <w:rsid w:val="00366978"/>
    <w:rsid w:val="0036786C"/>
    <w:rsid w:val="00373527"/>
    <w:rsid w:val="00376B57"/>
    <w:rsid w:val="003813AE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C2F42"/>
    <w:rsid w:val="003D0082"/>
    <w:rsid w:val="003D0F66"/>
    <w:rsid w:val="003D3471"/>
    <w:rsid w:val="003D3715"/>
    <w:rsid w:val="003D6F83"/>
    <w:rsid w:val="003D7E0B"/>
    <w:rsid w:val="003E46B5"/>
    <w:rsid w:val="003E78B9"/>
    <w:rsid w:val="003F37EF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2AFD"/>
    <w:rsid w:val="004244A0"/>
    <w:rsid w:val="00431A93"/>
    <w:rsid w:val="00432A87"/>
    <w:rsid w:val="004366C2"/>
    <w:rsid w:val="00436EB6"/>
    <w:rsid w:val="004377C2"/>
    <w:rsid w:val="004426FF"/>
    <w:rsid w:val="00445FFE"/>
    <w:rsid w:val="00446FF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726EC"/>
    <w:rsid w:val="00481F80"/>
    <w:rsid w:val="00485319"/>
    <w:rsid w:val="004859DB"/>
    <w:rsid w:val="0048663B"/>
    <w:rsid w:val="00487210"/>
    <w:rsid w:val="0049075C"/>
    <w:rsid w:val="00490A82"/>
    <w:rsid w:val="00491291"/>
    <w:rsid w:val="00491599"/>
    <w:rsid w:val="004A4479"/>
    <w:rsid w:val="004A46D0"/>
    <w:rsid w:val="004A61F6"/>
    <w:rsid w:val="004A7AAF"/>
    <w:rsid w:val="004B2586"/>
    <w:rsid w:val="004C15C7"/>
    <w:rsid w:val="004C424C"/>
    <w:rsid w:val="004C6706"/>
    <w:rsid w:val="004C7A0A"/>
    <w:rsid w:val="004D7AE2"/>
    <w:rsid w:val="004E23ED"/>
    <w:rsid w:val="004E28E7"/>
    <w:rsid w:val="004E3AD9"/>
    <w:rsid w:val="004E41F2"/>
    <w:rsid w:val="004E6310"/>
    <w:rsid w:val="004F06EF"/>
    <w:rsid w:val="004F5094"/>
    <w:rsid w:val="0050371D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5002"/>
    <w:rsid w:val="00547343"/>
    <w:rsid w:val="005508F5"/>
    <w:rsid w:val="0055193F"/>
    <w:rsid w:val="00552198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7560"/>
    <w:rsid w:val="0063740C"/>
    <w:rsid w:val="006402D2"/>
    <w:rsid w:val="00647583"/>
    <w:rsid w:val="006549A7"/>
    <w:rsid w:val="00655E5F"/>
    <w:rsid w:val="00656CBA"/>
    <w:rsid w:val="00664B38"/>
    <w:rsid w:val="00665E86"/>
    <w:rsid w:val="00667784"/>
    <w:rsid w:val="00667D57"/>
    <w:rsid w:val="00675DA5"/>
    <w:rsid w:val="00683742"/>
    <w:rsid w:val="00686229"/>
    <w:rsid w:val="0068631C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2F9B"/>
    <w:rsid w:val="00733BDC"/>
    <w:rsid w:val="00734266"/>
    <w:rsid w:val="00735124"/>
    <w:rsid w:val="0073672D"/>
    <w:rsid w:val="0073703D"/>
    <w:rsid w:val="00744D6E"/>
    <w:rsid w:val="00747562"/>
    <w:rsid w:val="007573E8"/>
    <w:rsid w:val="007634B7"/>
    <w:rsid w:val="007636B5"/>
    <w:rsid w:val="007637D7"/>
    <w:rsid w:val="00764D77"/>
    <w:rsid w:val="007743F9"/>
    <w:rsid w:val="007772C8"/>
    <w:rsid w:val="007812E4"/>
    <w:rsid w:val="00784DC1"/>
    <w:rsid w:val="007852FA"/>
    <w:rsid w:val="0078631A"/>
    <w:rsid w:val="007A06E5"/>
    <w:rsid w:val="007A2606"/>
    <w:rsid w:val="007A4DD8"/>
    <w:rsid w:val="007A70C7"/>
    <w:rsid w:val="007B11A6"/>
    <w:rsid w:val="007C3E2C"/>
    <w:rsid w:val="007D7BE1"/>
    <w:rsid w:val="007E092B"/>
    <w:rsid w:val="007E42B9"/>
    <w:rsid w:val="007F0373"/>
    <w:rsid w:val="007F0D2E"/>
    <w:rsid w:val="00801AD8"/>
    <w:rsid w:val="0080405C"/>
    <w:rsid w:val="00813FA5"/>
    <w:rsid w:val="008213D9"/>
    <w:rsid w:val="008252C0"/>
    <w:rsid w:val="0083315A"/>
    <w:rsid w:val="0085274F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E19"/>
    <w:rsid w:val="008D46C6"/>
    <w:rsid w:val="008D5EE1"/>
    <w:rsid w:val="008E38C3"/>
    <w:rsid w:val="008E4032"/>
    <w:rsid w:val="008E60F3"/>
    <w:rsid w:val="008F4762"/>
    <w:rsid w:val="00906F72"/>
    <w:rsid w:val="009206A3"/>
    <w:rsid w:val="009252EA"/>
    <w:rsid w:val="00925CFC"/>
    <w:rsid w:val="00937A33"/>
    <w:rsid w:val="00943666"/>
    <w:rsid w:val="009470D6"/>
    <w:rsid w:val="00954151"/>
    <w:rsid w:val="0095503D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7197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34A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0C5A"/>
    <w:rsid w:val="00A11FA5"/>
    <w:rsid w:val="00A1450F"/>
    <w:rsid w:val="00A1543B"/>
    <w:rsid w:val="00A15CF8"/>
    <w:rsid w:val="00A23ADA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DA4"/>
    <w:rsid w:val="00A53107"/>
    <w:rsid w:val="00A5323C"/>
    <w:rsid w:val="00A62DAA"/>
    <w:rsid w:val="00A71DCF"/>
    <w:rsid w:val="00A728F0"/>
    <w:rsid w:val="00A81213"/>
    <w:rsid w:val="00A82EF7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1AE9"/>
    <w:rsid w:val="00AF494F"/>
    <w:rsid w:val="00AF7EDB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474D5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9098C"/>
    <w:rsid w:val="00B9462C"/>
    <w:rsid w:val="00B96C70"/>
    <w:rsid w:val="00BA072F"/>
    <w:rsid w:val="00BA19DD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D0184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2A9D"/>
    <w:rsid w:val="00C040AD"/>
    <w:rsid w:val="00C052BA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160"/>
    <w:rsid w:val="00C52CC0"/>
    <w:rsid w:val="00C567CC"/>
    <w:rsid w:val="00C617EC"/>
    <w:rsid w:val="00C64151"/>
    <w:rsid w:val="00C71259"/>
    <w:rsid w:val="00C7263B"/>
    <w:rsid w:val="00C76B51"/>
    <w:rsid w:val="00C826CB"/>
    <w:rsid w:val="00C90896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C37"/>
    <w:rsid w:val="00CC4DBC"/>
    <w:rsid w:val="00CD201A"/>
    <w:rsid w:val="00CD4DE7"/>
    <w:rsid w:val="00CD5E87"/>
    <w:rsid w:val="00CD6A2A"/>
    <w:rsid w:val="00CE3F0E"/>
    <w:rsid w:val="00CF072C"/>
    <w:rsid w:val="00CF085C"/>
    <w:rsid w:val="00CF2260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17E30"/>
    <w:rsid w:val="00D20A46"/>
    <w:rsid w:val="00D217EE"/>
    <w:rsid w:val="00D318C2"/>
    <w:rsid w:val="00D34AF0"/>
    <w:rsid w:val="00D361BD"/>
    <w:rsid w:val="00D3798A"/>
    <w:rsid w:val="00D456CA"/>
    <w:rsid w:val="00D46688"/>
    <w:rsid w:val="00D53B10"/>
    <w:rsid w:val="00D6079A"/>
    <w:rsid w:val="00D62DF9"/>
    <w:rsid w:val="00D63336"/>
    <w:rsid w:val="00D63D2A"/>
    <w:rsid w:val="00D76A77"/>
    <w:rsid w:val="00D82146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E60"/>
    <w:rsid w:val="00DF17B9"/>
    <w:rsid w:val="00DF4ECF"/>
    <w:rsid w:val="00DF6FC8"/>
    <w:rsid w:val="00E00278"/>
    <w:rsid w:val="00E00CF1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290E"/>
    <w:rsid w:val="00E33233"/>
    <w:rsid w:val="00E342B7"/>
    <w:rsid w:val="00E35B2F"/>
    <w:rsid w:val="00E45AC0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832DB"/>
    <w:rsid w:val="00E86C92"/>
    <w:rsid w:val="00E9087E"/>
    <w:rsid w:val="00E91CBC"/>
    <w:rsid w:val="00E93F15"/>
    <w:rsid w:val="00EA034F"/>
    <w:rsid w:val="00EA323E"/>
    <w:rsid w:val="00EA3977"/>
    <w:rsid w:val="00EA3AD5"/>
    <w:rsid w:val="00EB4504"/>
    <w:rsid w:val="00EB4E17"/>
    <w:rsid w:val="00EB7A7D"/>
    <w:rsid w:val="00EC0991"/>
    <w:rsid w:val="00ED0C7E"/>
    <w:rsid w:val="00ED0F69"/>
    <w:rsid w:val="00ED7AD7"/>
    <w:rsid w:val="00EE0BB4"/>
    <w:rsid w:val="00EE1E48"/>
    <w:rsid w:val="00EE5838"/>
    <w:rsid w:val="00EE679E"/>
    <w:rsid w:val="00EE798A"/>
    <w:rsid w:val="00EF061B"/>
    <w:rsid w:val="00EF3BBF"/>
    <w:rsid w:val="00EF6FB8"/>
    <w:rsid w:val="00F06969"/>
    <w:rsid w:val="00F07552"/>
    <w:rsid w:val="00F10509"/>
    <w:rsid w:val="00F17CCD"/>
    <w:rsid w:val="00F26122"/>
    <w:rsid w:val="00F26B1B"/>
    <w:rsid w:val="00F3312E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2021-10-04T09:09:00Z</cp:lastPrinted>
  <dcterms:created xsi:type="dcterms:W3CDTF">2022-03-16T08:44:00Z</dcterms:created>
  <dcterms:modified xsi:type="dcterms:W3CDTF">2022-03-16T08:48:00Z</dcterms:modified>
</cp:coreProperties>
</file>