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CE0428A" w:rsidR="00D848E2" w:rsidRPr="00664B38" w:rsidRDefault="00CC2943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6F69024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CC294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8AA90C0" w:rsidR="00D848E2" w:rsidRPr="00CB2165" w:rsidRDefault="00D82463" w:rsidP="00D82463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5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SGK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9958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İDARİ PARA CEZALARINDA İNDİRİM UYGULAMASI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7FFD1FAC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7B6762B" w14:textId="3A6A2900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SGK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İDARİ PARA CEZALARINDA İNDİRİM UYGULAMASI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DDFFADB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4A775FB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1- SGK idari para cezalarının SGK’ ya itiraz edilmeden veya yargı yoluna başvurulmadan önce</w:t>
      </w:r>
    </w:p>
    <w:p w14:paraId="4765F088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tebliğ tarihinden itibaren on beş gün içinde ödenecek olması halinde dörtte üçü tahsil edilir,</w:t>
      </w:r>
    </w:p>
    <w:p w14:paraId="2CC95CC9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dörtte biri silinir.</w:t>
      </w:r>
    </w:p>
    <w:p w14:paraId="43F95A85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2- 5510 sayılı Kanunun 102 inci maddesin birinci fıkrasının (a), (b), (g), (h) ve (j) bentlerinde</w:t>
      </w:r>
    </w:p>
    <w:p w14:paraId="50126F71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öngörülen;</w:t>
      </w:r>
    </w:p>
    <w:p w14:paraId="6E4A14B2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Sigortal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i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e giri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ve i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ten ayr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bildirgeleri ile i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yeri bildirgelerinin,</w:t>
      </w:r>
    </w:p>
    <w:p w14:paraId="2B08D7EB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Kamu idarelerince vazife malull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üğü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ne sebep olan olay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n,</w:t>
      </w:r>
    </w:p>
    <w:p w14:paraId="0D50118A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Kamu idareleri ile döner sermayeli kuruluşlar, 5411 sayılı Bankacılık Kanunu kapsamındaki</w:t>
      </w:r>
    </w:p>
    <w:p w14:paraId="53BD9354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kuruluşlar ve kanunla kurulan kurum ve kuruluşlarca, ihale yolu ile yaptırılan işleri üstlenenlerin</w:t>
      </w:r>
    </w:p>
    <w:p w14:paraId="2AC9E033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ve bunların adreslerinin,</w:t>
      </w:r>
    </w:p>
    <w:p w14:paraId="1DAAC079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Kamu idareleri ile bankalarca sigortas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z olduğu tespit edilen kişilerin,</w:t>
      </w:r>
    </w:p>
    <w:p w14:paraId="3AA6A16C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Ticaret sicil memurluklar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nca 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irket kurulu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u a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amas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nda, 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al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raca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ğı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sigortal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say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ve</w:t>
      </w:r>
    </w:p>
    <w:p w14:paraId="258B804E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bunların işe başlama tarihini bildiren işverenlere ilişkin bildirimlerin,</w:t>
      </w:r>
    </w:p>
    <w:p w14:paraId="73C60288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 xml:space="preserve"> Valilikler, belediyeler ve ruhsat vermeye yetkili di</w:t>
      </w:r>
      <w:r w:rsidRPr="009958AA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9958AA">
        <w:rPr>
          <w:rFonts w:asciiTheme="majorHAnsi" w:hAnsiTheme="majorHAnsi" w:cstheme="majorHAnsi"/>
          <w:b/>
          <w:bCs/>
          <w:sz w:val="22"/>
          <w:szCs w:val="22"/>
        </w:rPr>
        <w:t>er kamu ve özel hukuk tüzel kişilerince, yapı</w:t>
      </w:r>
    </w:p>
    <w:p w14:paraId="0E5BFF37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ruhsatı veya ruhsat niteliği taşıyan işlemlerine ilişkin bilgi ve belgeler ile varsa bunların</w:t>
      </w:r>
    </w:p>
    <w:p w14:paraId="7A5A925B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verilmesine esas olan istihdama ilişkin bilgilerin,</w:t>
      </w:r>
    </w:p>
    <w:p w14:paraId="7FADA1CB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Yasal suresi içinde bildirilmemesinden/verilmemesinden kaynaklanan idari para cezalarına konu belge</w:t>
      </w:r>
    </w:p>
    <w:p w14:paraId="4324E8F3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veya bildirgenin ilgililerce kendiliğinden düzenlenmiş olması, söz konusu belge veya bildirgenin yasal</w:t>
      </w:r>
    </w:p>
    <w:p w14:paraId="7A098405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verilme suresini takip eden günden itibaren başlamak üzere en geç otuz gün içinde SGK’ ya verilmiş</w:t>
      </w:r>
    </w:p>
    <w:p w14:paraId="5A1ABA89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olması ve idari para cezasının tebliğ edildiği tarihi takip eden günden itibaren en geç on beş gün içinde</w:t>
      </w:r>
    </w:p>
    <w:p w14:paraId="4E730A63" w14:textId="77777777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ödenmesi şartlarının birlikte gerçekleşmiş olması kaydıyla, tebliğ edilen ceza tutarının yalnızca</w:t>
      </w:r>
    </w:p>
    <w:p w14:paraId="3A5DDE5F" w14:textId="2E625208" w:rsidR="009958AA" w:rsidRPr="009958AA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958AA">
        <w:rPr>
          <w:rFonts w:asciiTheme="majorHAnsi" w:hAnsiTheme="majorHAnsi" w:cstheme="majorHAnsi"/>
          <w:b/>
          <w:bCs/>
          <w:sz w:val="22"/>
          <w:szCs w:val="22"/>
        </w:rPr>
        <w:t>1/4’unun 3/4’u tahsil edilmektedir.</w:t>
      </w:r>
    </w:p>
    <w:p w14:paraId="3BA93C0D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2B6D26B9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55F068C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C9B9ECA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B0C5A71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0E6B93D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22DC139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C9E58B7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091884B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lastRenderedPageBreak/>
        <w:t>SGK’NIN UYGULADIĞI İDARİ PARA CEZALARINDA İNDİRİM MİKTARI</w:t>
      </w:r>
    </w:p>
    <w:p w14:paraId="4A26A273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NASIL HESAPLANMAKTADIR?</w:t>
      </w:r>
    </w:p>
    <w:p w14:paraId="4733039F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5510 sayılı Kanunun 102 nci maddesinin beşinci fıkrasında “İdari para cezalarının, Kuruma itiraz</w:t>
      </w:r>
    </w:p>
    <w:p w14:paraId="0B1ECF8B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edilmeden veya yargı yoluna başvurulmadan önce tebliğ tarihinden itibaren on beş gün içinde peşin</w:t>
      </w:r>
    </w:p>
    <w:p w14:paraId="380CC6BD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ödenmesi halinde, bunun dörtte üçü tahsil edilir. Peşin ödeme idari para cezasına karşı yargı yoluna</w:t>
      </w:r>
    </w:p>
    <w:p w14:paraId="5D30FFD3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başvurma hakkını etkilemez.” hükmü yer almaktadır.</w:t>
      </w:r>
    </w:p>
    <w:p w14:paraId="3BD32036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Bu hükme istinaden, idari para cezasının, tebliğ edildiği tarihi takip eden 15 günlük süre içerisinde peşin</w:t>
      </w:r>
    </w:p>
    <w:p w14:paraId="2D879A4D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ödenmesi halinde dörtte üçlük kısmı tahsil edilecektir.</w:t>
      </w:r>
    </w:p>
    <w:p w14:paraId="463737EA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Örnek 1- İşletme esasına göre defter tutmakla yükümlü olan (A) gerçek kişisi tarafından 15/3/2022</w:t>
      </w:r>
    </w:p>
    <w:p w14:paraId="4F68F1D6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tarihinde sigortalı çalıştırmaya başlanıldığı halde işyeri bildirgesinin verilmemesi nedeniyle anılan</w:t>
      </w:r>
    </w:p>
    <w:p w14:paraId="081272D1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işveren hakkında uygulanan 5.004,00 * 2 = 10.008 TL tutarındaki idari para cezasının 15 günlük sure</w:t>
      </w:r>
    </w:p>
    <w:p w14:paraId="46CB67C2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içinde ödeneceği varsayıldığında,</w:t>
      </w:r>
    </w:p>
    <w:p w14:paraId="04586149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10.008 * 3 / 4 = 7.506 TL’si tahsil edilecek, 2.502.-TL si silinecektir.</w:t>
      </w:r>
    </w:p>
    <w:p w14:paraId="4D98DEE6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5510 sayılı Kanunun 102 inci maddesinin ikinci fıkrasında ;</w:t>
      </w:r>
    </w:p>
    <w:p w14:paraId="7CABEBED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“Mahkeme kararına, Kurumun denetim ve kontrol ile görevlendirilmiş memurlarınca yapılan tespitler</w:t>
      </w:r>
    </w:p>
    <w:p w14:paraId="6A86E326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veya diğer kamu idarelerinin denetim elemanlarınca kendi mevzuatları gereğince yapacakları</w:t>
      </w:r>
    </w:p>
    <w:p w14:paraId="53C512FA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soruşturma, denetim ve incelemelere ya da kamu idarelerinden alınan belgelere istinaden</w:t>
      </w:r>
    </w:p>
    <w:p w14:paraId="4A75E96B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düzenlenenler hariç olmak üzere, bildirgenin veya belgenin yasal suresi geçtikten sonra ilgililerce</w:t>
      </w:r>
    </w:p>
    <w:p w14:paraId="28889D97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kendiliğinden 30 gün içinde verilmesi ve söz konusu cezaların ilgililerce, yapılacak tebligat tarihini takip</w:t>
      </w:r>
    </w:p>
    <w:p w14:paraId="1C127D07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eden günden itibaren 15 gün içinde ödenmesi halinde, bu maddenin birinci fıkrasının (a), (b), (g), (h)</w:t>
      </w:r>
    </w:p>
    <w:p w14:paraId="0C5340D9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ve (j) bentlerinde öngörülen cezalar dörtte bir oranına karşılık gelen tutar üzerinden uygulanır.” Hükmü</w:t>
      </w:r>
    </w:p>
    <w:p w14:paraId="70EB8D5C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yer almaktadır. Belirtilen bu kanun hükmüne;</w:t>
      </w:r>
    </w:p>
    <w:p w14:paraId="179AFC09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Sigortal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 i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e giriş ve işten ayrılış bildirgeleri ile işyeri bildirgelerinin,</w:t>
      </w:r>
    </w:p>
    <w:p w14:paraId="2FC39141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Kamu idarelerince vazife malull</w:t>
      </w:r>
      <w:r w:rsidRPr="00D82463">
        <w:rPr>
          <w:rFonts w:ascii="Calibri Light" w:hAnsi="Calibri Light" w:cs="Calibri Light"/>
          <w:sz w:val="22"/>
          <w:szCs w:val="22"/>
        </w:rPr>
        <w:t>üğü</w:t>
      </w:r>
      <w:r w:rsidRPr="00D82463">
        <w:rPr>
          <w:rFonts w:asciiTheme="majorHAnsi" w:hAnsiTheme="majorHAnsi" w:cstheme="majorHAnsi"/>
          <w:sz w:val="22"/>
          <w:szCs w:val="22"/>
        </w:rPr>
        <w:t>ne sebep olan olay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n,</w:t>
      </w:r>
    </w:p>
    <w:p w14:paraId="7CA835FD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Kamu idareleri ile d</w:t>
      </w:r>
      <w:r w:rsidRPr="00D82463">
        <w:rPr>
          <w:rFonts w:ascii="Calibri Light" w:hAnsi="Calibri Light" w:cs="Calibri Light"/>
          <w:sz w:val="22"/>
          <w:szCs w:val="22"/>
        </w:rPr>
        <w:t>ö</w:t>
      </w:r>
      <w:r w:rsidRPr="00D82463">
        <w:rPr>
          <w:rFonts w:asciiTheme="majorHAnsi" w:hAnsiTheme="majorHAnsi" w:cstheme="majorHAnsi"/>
          <w:sz w:val="22"/>
          <w:szCs w:val="22"/>
        </w:rPr>
        <w:t>ner sermayeli kurulu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lar, 5411 say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l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 Bankac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l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k Kanunu kapsam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ndaki</w:t>
      </w:r>
    </w:p>
    <w:p w14:paraId="5C2C20C5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kuruluşlar ve kanunla kurulan kurum ve kuruluşlarca, ihale yolu ile yaptırılan işleri üstlenenlerin</w:t>
      </w:r>
    </w:p>
    <w:p w14:paraId="23F21B22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ve bunların adreslerinin,</w:t>
      </w:r>
    </w:p>
    <w:p w14:paraId="1A079A9B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Kamu idareleri ile bankalarca sigortas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z oldu</w:t>
      </w:r>
      <w:r w:rsidRPr="00D82463">
        <w:rPr>
          <w:rFonts w:ascii="Calibri Light" w:hAnsi="Calibri Light" w:cs="Calibri Light"/>
          <w:sz w:val="22"/>
          <w:szCs w:val="22"/>
        </w:rPr>
        <w:t>ğ</w:t>
      </w:r>
      <w:r w:rsidRPr="00D82463">
        <w:rPr>
          <w:rFonts w:asciiTheme="majorHAnsi" w:hAnsiTheme="majorHAnsi" w:cstheme="majorHAnsi"/>
          <w:sz w:val="22"/>
          <w:szCs w:val="22"/>
        </w:rPr>
        <w:t>u tespit edilen ki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ilerin,</w:t>
      </w:r>
    </w:p>
    <w:p w14:paraId="30C2E914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Ticaret sicil memurluklar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nca 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irket kurulu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u a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amas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nda, </w:t>
      </w:r>
      <w:r w:rsidRPr="00D82463">
        <w:rPr>
          <w:rFonts w:ascii="Calibri Light" w:hAnsi="Calibri Light" w:cs="Calibri Light"/>
          <w:sz w:val="22"/>
          <w:szCs w:val="22"/>
        </w:rPr>
        <w:t>ç</w:t>
      </w:r>
      <w:r w:rsidRPr="00D82463">
        <w:rPr>
          <w:rFonts w:asciiTheme="majorHAnsi" w:hAnsiTheme="majorHAnsi" w:cstheme="majorHAnsi"/>
          <w:sz w:val="22"/>
          <w:szCs w:val="22"/>
        </w:rPr>
        <w:t>al</w:t>
      </w:r>
      <w:r w:rsidRPr="00D82463">
        <w:rPr>
          <w:rFonts w:ascii="Calibri Light" w:hAnsi="Calibri Light" w:cs="Calibri Light"/>
          <w:sz w:val="22"/>
          <w:szCs w:val="22"/>
        </w:rPr>
        <w:t>ış</w:t>
      </w:r>
      <w:r w:rsidRPr="00D82463">
        <w:rPr>
          <w:rFonts w:asciiTheme="majorHAnsi" w:hAnsiTheme="majorHAnsi" w:cstheme="majorHAnsi"/>
          <w:sz w:val="22"/>
          <w:szCs w:val="22"/>
        </w:rPr>
        <w:t>t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raca</w:t>
      </w:r>
      <w:r w:rsidRPr="00D82463">
        <w:rPr>
          <w:rFonts w:ascii="Calibri Light" w:hAnsi="Calibri Light" w:cs="Calibri Light"/>
          <w:sz w:val="22"/>
          <w:szCs w:val="22"/>
        </w:rPr>
        <w:t>ğı</w:t>
      </w:r>
      <w:r w:rsidRPr="00D82463">
        <w:rPr>
          <w:rFonts w:asciiTheme="majorHAnsi" w:hAnsiTheme="majorHAnsi" w:cstheme="majorHAnsi"/>
          <w:sz w:val="22"/>
          <w:szCs w:val="22"/>
        </w:rPr>
        <w:t xml:space="preserve"> sigortal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 say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s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n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 xml:space="preserve"> ve</w:t>
      </w:r>
    </w:p>
    <w:p w14:paraId="407463A8" w14:textId="7777777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bunların işe başlama tarihini bildiren işverenlere ilişkin bildirimlerin,</w:t>
      </w:r>
    </w:p>
    <w:p w14:paraId="65EDA943" w14:textId="1DA3BE57" w:rsidR="009958AA" w:rsidRPr="00D82463" w:rsidRDefault="009958AA" w:rsidP="009958A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DF14BFE" w14:textId="77777777" w:rsidR="009958AA" w:rsidRPr="00D82463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784CE1A0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871969C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B2095CF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24941B73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2076DDF0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69DD1A7" w14:textId="77777777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D52AF24" w14:textId="77BCCE91" w:rsidR="009958AA" w:rsidRDefault="009958AA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909A210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Valilikler, belediyeler ve ruhsat vermeye yetkili di</w:t>
      </w:r>
      <w:r w:rsidRPr="00D82463">
        <w:rPr>
          <w:rFonts w:ascii="Calibri Light" w:hAnsi="Calibri Light" w:cs="Calibri Light"/>
          <w:sz w:val="22"/>
          <w:szCs w:val="22"/>
        </w:rPr>
        <w:t>ğ</w:t>
      </w:r>
      <w:r w:rsidRPr="00D82463">
        <w:rPr>
          <w:rFonts w:asciiTheme="majorHAnsi" w:hAnsiTheme="majorHAnsi" w:cstheme="majorHAnsi"/>
          <w:sz w:val="22"/>
          <w:szCs w:val="22"/>
        </w:rPr>
        <w:t xml:space="preserve">er kamu ve </w:t>
      </w:r>
      <w:r w:rsidRPr="00D82463">
        <w:rPr>
          <w:rFonts w:ascii="Calibri Light" w:hAnsi="Calibri Light" w:cs="Calibri Light"/>
          <w:sz w:val="22"/>
          <w:szCs w:val="22"/>
        </w:rPr>
        <w:t>ö</w:t>
      </w:r>
      <w:r w:rsidRPr="00D82463">
        <w:rPr>
          <w:rFonts w:asciiTheme="majorHAnsi" w:hAnsiTheme="majorHAnsi" w:cstheme="majorHAnsi"/>
          <w:sz w:val="22"/>
          <w:szCs w:val="22"/>
        </w:rPr>
        <w:t>zel hukuk t</w:t>
      </w:r>
      <w:r w:rsidRPr="00D82463">
        <w:rPr>
          <w:rFonts w:ascii="Calibri Light" w:hAnsi="Calibri Light" w:cs="Calibri Light"/>
          <w:sz w:val="22"/>
          <w:szCs w:val="22"/>
        </w:rPr>
        <w:t>ü</w:t>
      </w:r>
      <w:r w:rsidRPr="00D82463">
        <w:rPr>
          <w:rFonts w:asciiTheme="majorHAnsi" w:hAnsiTheme="majorHAnsi" w:cstheme="majorHAnsi"/>
          <w:sz w:val="22"/>
          <w:szCs w:val="22"/>
        </w:rPr>
        <w:t>zel ki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ilerince, yap</w:t>
      </w:r>
      <w:r w:rsidRPr="00D82463">
        <w:rPr>
          <w:rFonts w:ascii="Calibri Light" w:hAnsi="Calibri Light" w:cs="Calibri Light"/>
          <w:sz w:val="22"/>
          <w:szCs w:val="22"/>
        </w:rPr>
        <w:t>ı</w:t>
      </w:r>
    </w:p>
    <w:p w14:paraId="119B1F33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ruhsatı veya ruhsat niteliği taşıyan işlemlerine ilişkin bilgi ve belgeler ile varsa bunların</w:t>
      </w:r>
    </w:p>
    <w:p w14:paraId="0708A3C6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verilmesine esas olan istihdama ilişkin bilgilerin,</w:t>
      </w:r>
    </w:p>
    <w:p w14:paraId="717F97E7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Yasal suresi içinde bildirilmemesinden/verilmemesinden kaynaklanan fiiller girmektedir.</w:t>
      </w:r>
    </w:p>
    <w:p w14:paraId="46F362DE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Bu kanun hükmüne göre yukarıda belirtilen fiillere ilişkin;</w:t>
      </w:r>
    </w:p>
    <w:p w14:paraId="0224B27F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Belge veya bildirgenin ilgililerce kendiliğinden düzenlenmiş olması,</w:t>
      </w:r>
    </w:p>
    <w:p w14:paraId="54E06F6D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S</w:t>
      </w:r>
      <w:r w:rsidRPr="00D82463">
        <w:rPr>
          <w:rFonts w:ascii="Calibri Light" w:hAnsi="Calibri Light" w:cs="Calibri Light"/>
          <w:sz w:val="22"/>
          <w:szCs w:val="22"/>
        </w:rPr>
        <w:t>ö</w:t>
      </w:r>
      <w:r w:rsidRPr="00D82463">
        <w:rPr>
          <w:rFonts w:asciiTheme="majorHAnsi" w:hAnsiTheme="majorHAnsi" w:cstheme="majorHAnsi"/>
          <w:sz w:val="22"/>
          <w:szCs w:val="22"/>
        </w:rPr>
        <w:t>z konusu belge veya bildirgenin yasal verilme suresini takip eden g</w:t>
      </w:r>
      <w:r w:rsidRPr="00D82463">
        <w:rPr>
          <w:rFonts w:ascii="Calibri Light" w:hAnsi="Calibri Light" w:cs="Calibri Light"/>
          <w:sz w:val="22"/>
          <w:szCs w:val="22"/>
        </w:rPr>
        <w:t>ü</w:t>
      </w:r>
      <w:r w:rsidRPr="00D82463">
        <w:rPr>
          <w:rFonts w:asciiTheme="majorHAnsi" w:hAnsiTheme="majorHAnsi" w:cstheme="majorHAnsi"/>
          <w:sz w:val="22"/>
          <w:szCs w:val="22"/>
        </w:rPr>
        <w:t>nden itibaren ba</w:t>
      </w:r>
      <w:r w:rsidRPr="00D82463">
        <w:rPr>
          <w:rFonts w:ascii="Calibri Light" w:hAnsi="Calibri Light" w:cs="Calibri Light"/>
          <w:sz w:val="22"/>
          <w:szCs w:val="22"/>
        </w:rPr>
        <w:t>ş</w:t>
      </w:r>
      <w:r w:rsidRPr="00D82463">
        <w:rPr>
          <w:rFonts w:asciiTheme="majorHAnsi" w:hAnsiTheme="majorHAnsi" w:cstheme="majorHAnsi"/>
          <w:sz w:val="22"/>
          <w:szCs w:val="22"/>
        </w:rPr>
        <w:t>lamak</w:t>
      </w:r>
    </w:p>
    <w:p w14:paraId="411F98C5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üzere en geç otuz gün içinde SGK’ ya verilmiş olması,</w:t>
      </w:r>
    </w:p>
    <w:p w14:paraId="743484D2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="Cambria Math" w:hAnsi="Cambria Math" w:cs="Cambria Math"/>
          <w:sz w:val="22"/>
          <w:szCs w:val="22"/>
        </w:rPr>
        <w:t>⎯</w:t>
      </w:r>
      <w:r w:rsidRPr="00D82463">
        <w:rPr>
          <w:rFonts w:asciiTheme="majorHAnsi" w:hAnsiTheme="majorHAnsi" w:cstheme="majorHAnsi"/>
          <w:sz w:val="22"/>
          <w:szCs w:val="22"/>
        </w:rPr>
        <w:t xml:space="preserve"> </w:t>
      </w:r>
      <w:r w:rsidRPr="00D82463">
        <w:rPr>
          <w:rFonts w:ascii="Calibri Light" w:hAnsi="Calibri Light" w:cs="Calibri Light"/>
          <w:sz w:val="22"/>
          <w:szCs w:val="22"/>
        </w:rPr>
        <w:t>İ</w:t>
      </w:r>
      <w:r w:rsidRPr="00D82463">
        <w:rPr>
          <w:rFonts w:asciiTheme="majorHAnsi" w:hAnsiTheme="majorHAnsi" w:cstheme="majorHAnsi"/>
          <w:sz w:val="22"/>
          <w:szCs w:val="22"/>
        </w:rPr>
        <w:t>dari para cezas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n</w:t>
      </w:r>
      <w:r w:rsidRPr="00D82463">
        <w:rPr>
          <w:rFonts w:ascii="Calibri Light" w:hAnsi="Calibri Light" w:cs="Calibri Light"/>
          <w:sz w:val="22"/>
          <w:szCs w:val="22"/>
        </w:rPr>
        <w:t>ı</w:t>
      </w:r>
      <w:r w:rsidRPr="00D82463">
        <w:rPr>
          <w:rFonts w:asciiTheme="majorHAnsi" w:hAnsiTheme="majorHAnsi" w:cstheme="majorHAnsi"/>
          <w:sz w:val="22"/>
          <w:szCs w:val="22"/>
        </w:rPr>
        <w:t>n tebli</w:t>
      </w:r>
      <w:r w:rsidRPr="00D82463">
        <w:rPr>
          <w:rFonts w:ascii="Calibri Light" w:hAnsi="Calibri Light" w:cs="Calibri Light"/>
          <w:sz w:val="22"/>
          <w:szCs w:val="22"/>
        </w:rPr>
        <w:t>ğ</w:t>
      </w:r>
      <w:r w:rsidRPr="00D82463">
        <w:rPr>
          <w:rFonts w:asciiTheme="majorHAnsi" w:hAnsiTheme="majorHAnsi" w:cstheme="majorHAnsi"/>
          <w:sz w:val="22"/>
          <w:szCs w:val="22"/>
        </w:rPr>
        <w:t xml:space="preserve"> edildi</w:t>
      </w:r>
      <w:r w:rsidRPr="00D82463">
        <w:rPr>
          <w:rFonts w:ascii="Calibri Light" w:hAnsi="Calibri Light" w:cs="Calibri Light"/>
          <w:sz w:val="22"/>
          <w:szCs w:val="22"/>
        </w:rPr>
        <w:t>ğ</w:t>
      </w:r>
      <w:r w:rsidRPr="00D82463">
        <w:rPr>
          <w:rFonts w:asciiTheme="majorHAnsi" w:hAnsiTheme="majorHAnsi" w:cstheme="majorHAnsi"/>
          <w:sz w:val="22"/>
          <w:szCs w:val="22"/>
        </w:rPr>
        <w:t>i tarihi takip eden g</w:t>
      </w:r>
      <w:r w:rsidRPr="00D82463">
        <w:rPr>
          <w:rFonts w:ascii="Calibri Light" w:hAnsi="Calibri Light" w:cs="Calibri Light"/>
          <w:sz w:val="22"/>
          <w:szCs w:val="22"/>
        </w:rPr>
        <w:t>ü</w:t>
      </w:r>
      <w:r w:rsidRPr="00D82463">
        <w:rPr>
          <w:rFonts w:asciiTheme="majorHAnsi" w:hAnsiTheme="majorHAnsi" w:cstheme="majorHAnsi"/>
          <w:sz w:val="22"/>
          <w:szCs w:val="22"/>
        </w:rPr>
        <w:t>nden itibaren en geç on beş gün içinde</w:t>
      </w:r>
    </w:p>
    <w:p w14:paraId="1DD86287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ödenmesi,</w:t>
      </w:r>
    </w:p>
    <w:p w14:paraId="1148A0CC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Şartlarının birlikte gerçekleşmiş olması kaydıyla, tebliğ edilen ceza tutarının yalnızca 1/4’ünün 3/4’ü</w:t>
      </w:r>
    </w:p>
    <w:p w14:paraId="2A4D7E17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tahsil edilmektedir.</w:t>
      </w:r>
    </w:p>
    <w:p w14:paraId="79EAF2DF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Örnek 2- 05/04/2022 tarihinde işe girmiş olan bir sigortalıya ilişkin sigortalı işe giriş bildirgesinin</w:t>
      </w:r>
    </w:p>
    <w:p w14:paraId="45744FE5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22/4/2022 tarihinde işveren tarafından kendiliğinden verilmiş olduğu varsayıldığında, söz konusu</w:t>
      </w:r>
    </w:p>
    <w:p w14:paraId="1A29D9D6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belgenin yasal suresi geçirildikten sonra ve 30 günlük sure içinde verilmiş olması nedeniyle idari para</w:t>
      </w:r>
    </w:p>
    <w:p w14:paraId="5296B1D2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cezası 5.004,00 TL olarak tebliğe çıkartılacaktır. Bu durumda 5.004,00 TL tutarındaki idari para</w:t>
      </w:r>
    </w:p>
    <w:p w14:paraId="7A309F46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cezasının SGK’ ya itiraz edilmeden veya yargı yoluna başvurulmadan önce tebliğ edildiği tarihten</w:t>
      </w:r>
    </w:p>
    <w:p w14:paraId="365B4667" w14:textId="77777777" w:rsidR="001567E8" w:rsidRPr="00D82463" w:rsidRDefault="001567E8" w:rsidP="001567E8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itibaren 15 gün içinde ödenecek olması halinde, 5.004 * 1 / 4 = 1.251,00</w:t>
      </w:r>
    </w:p>
    <w:p w14:paraId="49CF7B00" w14:textId="77777777" w:rsidR="00637414" w:rsidRDefault="001567E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82463">
        <w:rPr>
          <w:rFonts w:asciiTheme="majorHAnsi" w:hAnsiTheme="majorHAnsi" w:cstheme="majorHAnsi"/>
          <w:sz w:val="22"/>
          <w:szCs w:val="22"/>
        </w:rPr>
        <w:t>1.251,00 * 3 / 4 = 938,25TL =938 TL’si tahsil edilecektir.</w:t>
      </w:r>
      <w:r w:rsidRPr="00D82463">
        <w:rPr>
          <w:rFonts w:asciiTheme="majorHAnsi" w:hAnsiTheme="majorHAnsi" w:cstheme="majorHAnsi"/>
          <w:sz w:val="22"/>
          <w:szCs w:val="22"/>
        </w:rPr>
        <w:cr/>
      </w:r>
    </w:p>
    <w:p w14:paraId="661A90E7" w14:textId="705D63ED" w:rsidR="009E76F9" w:rsidRPr="00AF4F15" w:rsidRDefault="000E4A96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</w:t>
      </w:r>
      <w:r w:rsidR="009E76F9" w:rsidRPr="00AF4F15">
        <w:rPr>
          <w:b/>
          <w:bCs/>
        </w:rPr>
        <w:t>ilgilerinize sunulur.</w:t>
      </w:r>
      <w:r w:rsidR="009E76F9" w:rsidRPr="00AF4F15">
        <w:rPr>
          <w:b/>
          <w:bCs/>
        </w:rPr>
        <w:tab/>
      </w:r>
    </w:p>
    <w:p w14:paraId="4DD28DC4" w14:textId="345EAF3D" w:rsidR="00AF4F15" w:rsidRPr="00AF4F15" w:rsidRDefault="009E76F9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</w:t>
      </w:r>
      <w:r w:rsidR="0073672D" w:rsidRPr="00AF4F15">
        <w:rPr>
          <w:b/>
          <w:bCs/>
        </w:rPr>
        <w:t>ılarımızla…</w:t>
      </w:r>
    </w:p>
    <w:sectPr w:rsidR="00AF4F15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DE69" w14:textId="77777777" w:rsidR="00BA3E62" w:rsidRDefault="00BA3E62" w:rsidP="006A7CD4">
      <w:r>
        <w:separator/>
      </w:r>
    </w:p>
  </w:endnote>
  <w:endnote w:type="continuationSeparator" w:id="0">
    <w:p w14:paraId="1A97CF75" w14:textId="77777777" w:rsidR="00BA3E62" w:rsidRDefault="00BA3E6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FCC7" w14:textId="77777777" w:rsidR="00BA3E62" w:rsidRDefault="00BA3E62" w:rsidP="006A7CD4">
      <w:r>
        <w:separator/>
      </w:r>
    </w:p>
  </w:footnote>
  <w:footnote w:type="continuationSeparator" w:id="0">
    <w:p w14:paraId="178F6352" w14:textId="77777777" w:rsidR="00BA3E62" w:rsidRDefault="00BA3E6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E590C"/>
    <w:rsid w:val="007F0373"/>
    <w:rsid w:val="007F0D2E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2021-10-04T09:09:00Z</cp:lastPrinted>
  <dcterms:created xsi:type="dcterms:W3CDTF">2022-05-25T10:47:00Z</dcterms:created>
  <dcterms:modified xsi:type="dcterms:W3CDTF">2022-05-25T11:07:00Z</dcterms:modified>
</cp:coreProperties>
</file>